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F8F3D" w14:textId="77777777" w:rsidR="0009218F" w:rsidRDefault="0009218F">
      <w:pPr>
        <w:spacing w:after="167" w:line="259" w:lineRule="auto"/>
        <w:ind w:left="0" w:firstLine="0"/>
        <w:jc w:val="center"/>
        <w:rPr>
          <w:sz w:val="34"/>
        </w:rPr>
      </w:pPr>
    </w:p>
    <w:p w14:paraId="48196571" w14:textId="77777777" w:rsidR="0009218F" w:rsidRDefault="0009218F">
      <w:pPr>
        <w:spacing w:after="167" w:line="259" w:lineRule="auto"/>
        <w:ind w:left="0" w:firstLine="0"/>
        <w:jc w:val="center"/>
        <w:rPr>
          <w:sz w:val="34"/>
        </w:rPr>
      </w:pPr>
    </w:p>
    <w:p w14:paraId="2C41188D" w14:textId="35DAB3E2" w:rsidR="00F5687E" w:rsidRPr="008C5A17" w:rsidRDefault="00BF6A00">
      <w:pPr>
        <w:spacing w:after="167" w:line="259" w:lineRule="auto"/>
        <w:ind w:left="0" w:firstLine="0"/>
        <w:jc w:val="center"/>
      </w:pPr>
      <w:r>
        <w:rPr>
          <w:sz w:val="34"/>
        </w:rPr>
        <w:t xml:space="preserve">Territorial Inequalities: </w:t>
      </w:r>
      <w:r w:rsidRPr="008C5A17">
        <w:rPr>
          <w:sz w:val="34"/>
        </w:rPr>
        <w:t>A Note on State Discontinuity</w:t>
      </w:r>
    </w:p>
    <w:p w14:paraId="58579EE8" w14:textId="421E3602" w:rsidR="00F5687E" w:rsidRPr="003670CB" w:rsidRDefault="003A130B">
      <w:pPr>
        <w:spacing w:after="178" w:line="265" w:lineRule="auto"/>
        <w:jc w:val="center"/>
        <w:rPr>
          <w:lang w:val="es-419"/>
        </w:rPr>
      </w:pPr>
      <w:r w:rsidRPr="003670CB">
        <w:rPr>
          <w:sz w:val="24"/>
          <w:lang w:val="es-419"/>
        </w:rPr>
        <w:t>Lidia Ceriani, Luis</w:t>
      </w:r>
      <w:r w:rsidR="004C5AAC" w:rsidRPr="003670CB">
        <w:rPr>
          <w:sz w:val="24"/>
          <w:lang w:val="es-419"/>
        </w:rPr>
        <w:t xml:space="preserve"> </w:t>
      </w:r>
      <w:r w:rsidRPr="003670CB">
        <w:rPr>
          <w:sz w:val="24"/>
          <w:lang w:val="es-419"/>
        </w:rPr>
        <w:t>F</w:t>
      </w:r>
      <w:r w:rsidR="004C5AAC">
        <w:rPr>
          <w:sz w:val="24"/>
          <w:lang w:val="es-419"/>
        </w:rPr>
        <w:t>.</w:t>
      </w:r>
      <w:r w:rsidRPr="003670CB">
        <w:rPr>
          <w:sz w:val="24"/>
          <w:lang w:val="es-419"/>
        </w:rPr>
        <w:t xml:space="preserve"> Lopez-Calva, and Samuel D. Restrepo-Oyola</w:t>
      </w:r>
    </w:p>
    <w:p w14:paraId="34780146" w14:textId="094CB268" w:rsidR="00F5687E" w:rsidRPr="008C5A17" w:rsidRDefault="00B9656F">
      <w:pPr>
        <w:spacing w:after="495" w:line="265" w:lineRule="auto"/>
        <w:jc w:val="center"/>
      </w:pPr>
      <w:r>
        <w:rPr>
          <w:sz w:val="24"/>
        </w:rPr>
        <w:t>March</w:t>
      </w:r>
      <w:r w:rsidR="00AF4188" w:rsidRPr="008C5A17">
        <w:rPr>
          <w:sz w:val="24"/>
        </w:rPr>
        <w:t xml:space="preserve"> </w:t>
      </w:r>
      <w:r w:rsidR="00FF4EAB">
        <w:rPr>
          <w:sz w:val="24"/>
        </w:rPr>
        <w:t>1</w:t>
      </w:r>
      <w:r w:rsidR="00606298">
        <w:rPr>
          <w:sz w:val="24"/>
        </w:rPr>
        <w:t>2</w:t>
      </w:r>
      <w:r w:rsidR="003A130B" w:rsidRPr="008C5A17">
        <w:rPr>
          <w:sz w:val="24"/>
        </w:rPr>
        <w:t>, 202</w:t>
      </w:r>
      <w:r w:rsidR="0021748E">
        <w:rPr>
          <w:sz w:val="24"/>
        </w:rPr>
        <w:t>5</w:t>
      </w:r>
    </w:p>
    <w:p w14:paraId="7AD5AFD8" w14:textId="77777777" w:rsidR="00F5687E" w:rsidRPr="008C5A17" w:rsidRDefault="003A130B">
      <w:pPr>
        <w:pStyle w:val="Heading1"/>
        <w:numPr>
          <w:ilvl w:val="0"/>
          <w:numId w:val="0"/>
        </w:numPr>
        <w:spacing w:after="110" w:line="259" w:lineRule="auto"/>
        <w:jc w:val="center"/>
      </w:pPr>
      <w:r w:rsidRPr="008C5A17">
        <w:rPr>
          <w:sz w:val="20"/>
        </w:rPr>
        <w:t>Abstract</w:t>
      </w:r>
    </w:p>
    <w:p w14:paraId="72C7F45E" w14:textId="60091157" w:rsidR="00F5687E" w:rsidRPr="008C5A17" w:rsidRDefault="003A130B">
      <w:pPr>
        <w:spacing w:after="24" w:line="244" w:lineRule="auto"/>
        <w:ind w:left="540" w:right="530"/>
      </w:pPr>
      <w:r w:rsidRPr="008C5A17">
        <w:rPr>
          <w:sz w:val="20"/>
        </w:rPr>
        <w:t xml:space="preserve">When the State does not reach with the same effectiveness everybody and everywhere, it creates pockets of exclusions and it hampers the opportunities of individuals belonging to the excluded groups to fully participate economically, socially, and politically. This paper develops an index to measure State Discontinuity, defined as the </w:t>
      </w:r>
      <w:r w:rsidR="00B96876">
        <w:rPr>
          <w:sz w:val="20"/>
        </w:rPr>
        <w:t xml:space="preserve">uneven </w:t>
      </w:r>
      <w:r w:rsidRPr="008C5A17">
        <w:rPr>
          <w:sz w:val="20"/>
        </w:rPr>
        <w:t xml:space="preserve">presence and responsiveness of the State across </w:t>
      </w:r>
      <w:r w:rsidR="00B96876">
        <w:rPr>
          <w:sz w:val="20"/>
        </w:rPr>
        <w:t>the</w:t>
      </w:r>
      <w:r w:rsidRPr="008C5A17">
        <w:rPr>
          <w:sz w:val="20"/>
        </w:rPr>
        <w:t xml:space="preserve"> territory. </w:t>
      </w:r>
      <w:r w:rsidR="000E676D">
        <w:rPr>
          <w:sz w:val="20"/>
        </w:rPr>
        <w:t xml:space="preserve">Different </w:t>
      </w:r>
      <w:r w:rsidR="000E676D" w:rsidRPr="003670CB">
        <w:rPr>
          <w:i/>
          <w:iCs/>
          <w:sz w:val="20"/>
        </w:rPr>
        <w:t>layers</w:t>
      </w:r>
      <w:r w:rsidR="000E676D">
        <w:rPr>
          <w:sz w:val="20"/>
        </w:rPr>
        <w:t xml:space="preserve"> of capacity</w:t>
      </w:r>
      <w:r w:rsidR="009C0301">
        <w:rPr>
          <w:sz w:val="20"/>
        </w:rPr>
        <w:t xml:space="preserve">, service provision and responsiveness determine the </w:t>
      </w:r>
      <w:r w:rsidR="009C0301" w:rsidRPr="003670CB">
        <w:rPr>
          <w:i/>
          <w:iCs/>
          <w:sz w:val="20"/>
        </w:rPr>
        <w:t>density</w:t>
      </w:r>
      <w:r w:rsidR="009C0301">
        <w:rPr>
          <w:sz w:val="20"/>
        </w:rPr>
        <w:t xml:space="preserve"> of State presence. </w:t>
      </w:r>
      <w:r w:rsidRPr="008C5A17">
        <w:rPr>
          <w:sz w:val="20"/>
        </w:rPr>
        <w:t>By examining the discontinuity of the State in 32 developing countries using extensive datasets from the International Integrated Public Use Microdata Series (IPUMS International) and the Armed Conflict Location and Event Data Project (ACLED), the paper explores the underlying drivers of this discontinuity and identifies potential policy intervention points.</w:t>
      </w:r>
    </w:p>
    <w:p w14:paraId="3FD87506" w14:textId="77777777" w:rsidR="009C0301" w:rsidRDefault="009C0301">
      <w:pPr>
        <w:spacing w:after="730" w:line="244" w:lineRule="auto"/>
        <w:ind w:left="540" w:right="530"/>
        <w:rPr>
          <w:b/>
          <w:sz w:val="20"/>
        </w:rPr>
      </w:pPr>
    </w:p>
    <w:p w14:paraId="7BF6A092" w14:textId="6BAF518D" w:rsidR="00F5687E" w:rsidRPr="008C5A17" w:rsidRDefault="003A130B">
      <w:pPr>
        <w:spacing w:after="730" w:line="244" w:lineRule="auto"/>
        <w:ind w:left="540" w:right="530"/>
      </w:pPr>
      <w:r w:rsidRPr="008C5A17">
        <w:rPr>
          <w:b/>
          <w:sz w:val="20"/>
        </w:rPr>
        <w:t xml:space="preserve">Keywords: </w:t>
      </w:r>
      <w:r w:rsidRPr="008C5A17">
        <w:rPr>
          <w:sz w:val="20"/>
        </w:rPr>
        <w:t>Social Contract; State Effectiveness; State Density; Inequality Indices</w:t>
      </w:r>
    </w:p>
    <w:p w14:paraId="3F7B0CEE" w14:textId="5585FB6F" w:rsidR="00F5687E" w:rsidRPr="008C5A17" w:rsidRDefault="00860D8C">
      <w:pPr>
        <w:pStyle w:val="Heading1"/>
        <w:ind w:left="469" w:hanging="484"/>
      </w:pPr>
      <w:r>
        <w:t xml:space="preserve">Introduction: </w:t>
      </w:r>
      <w:r w:rsidR="00293F8E">
        <w:t>The Spatial dimension of a State</w:t>
      </w:r>
    </w:p>
    <w:p w14:paraId="04A68C50" w14:textId="77777777" w:rsidR="001C6FA8" w:rsidRDefault="001C6FA8">
      <w:pPr>
        <w:spacing w:after="260"/>
        <w:ind w:left="-5"/>
      </w:pPr>
    </w:p>
    <w:p w14:paraId="6053A700" w14:textId="285D183B" w:rsidR="001C6FA8" w:rsidRPr="003670CB" w:rsidRDefault="001C6FA8" w:rsidP="003670CB">
      <w:pPr>
        <w:spacing w:after="0" w:line="240" w:lineRule="auto"/>
        <w:ind w:left="-5"/>
        <w:jc w:val="right"/>
        <w:rPr>
          <w:i/>
          <w:iCs/>
        </w:rPr>
      </w:pPr>
      <w:r w:rsidRPr="003670CB">
        <w:rPr>
          <w:i/>
          <w:iCs/>
        </w:rPr>
        <w:t>“</w:t>
      </w:r>
      <w:r w:rsidR="000B5ECB" w:rsidRPr="003670CB">
        <w:rPr>
          <w:i/>
          <w:iCs/>
        </w:rPr>
        <w:t>A</w:t>
      </w:r>
      <w:r w:rsidRPr="003670CB">
        <w:rPr>
          <w:i/>
          <w:iCs/>
        </w:rPr>
        <w:t>ny large social process or event</w:t>
      </w:r>
      <w:r w:rsidR="00B4298B" w:rsidRPr="003670CB">
        <w:rPr>
          <w:i/>
          <w:iCs/>
        </w:rPr>
        <w:t xml:space="preserve"> will inevitably</w:t>
      </w:r>
    </w:p>
    <w:p w14:paraId="55716BC4" w14:textId="46FAD583" w:rsidR="00B4298B" w:rsidRPr="003670CB" w:rsidRDefault="00E64EBC" w:rsidP="003670CB">
      <w:pPr>
        <w:spacing w:after="0" w:line="240" w:lineRule="auto"/>
        <w:ind w:left="-5"/>
        <w:jc w:val="right"/>
        <w:rPr>
          <w:i/>
          <w:iCs/>
        </w:rPr>
      </w:pPr>
      <w:r w:rsidRPr="003670CB">
        <w:rPr>
          <w:i/>
          <w:iCs/>
        </w:rPr>
        <w:t>b</w:t>
      </w:r>
      <w:r w:rsidR="00B4298B" w:rsidRPr="003670CB">
        <w:rPr>
          <w:i/>
          <w:iCs/>
        </w:rPr>
        <w:t xml:space="preserve">e far more complex than the schemata we can devise, </w:t>
      </w:r>
    </w:p>
    <w:p w14:paraId="75CCF345" w14:textId="3E597D4A" w:rsidR="00B4298B" w:rsidRPr="003670CB" w:rsidRDefault="00E64EBC" w:rsidP="003670CB">
      <w:pPr>
        <w:spacing w:after="0" w:line="240" w:lineRule="auto"/>
        <w:ind w:left="-5"/>
        <w:jc w:val="right"/>
        <w:rPr>
          <w:i/>
          <w:iCs/>
        </w:rPr>
      </w:pPr>
      <w:r w:rsidRPr="003670CB">
        <w:rPr>
          <w:i/>
          <w:iCs/>
        </w:rPr>
        <w:t>prospectively or retrospectively, to map it”</w:t>
      </w:r>
    </w:p>
    <w:p w14:paraId="50919C24" w14:textId="3C67D014" w:rsidR="00E64EBC" w:rsidRDefault="00994C23" w:rsidP="008D3078">
      <w:pPr>
        <w:spacing w:after="0" w:line="240" w:lineRule="auto"/>
        <w:ind w:left="-5"/>
        <w:jc w:val="right"/>
      </w:pPr>
      <w:r>
        <w:t>(</w:t>
      </w:r>
      <w:r w:rsidR="00E32370" w:rsidRPr="00C545AA">
        <w:rPr>
          <w:color w:val="0000FF"/>
        </w:rPr>
        <w:t>Scott</w:t>
      </w:r>
      <w:r w:rsidR="00E32370">
        <w:t xml:space="preserve">, </w:t>
      </w:r>
      <w:r w:rsidRPr="00C545AA">
        <w:rPr>
          <w:color w:val="0000FF"/>
        </w:rPr>
        <w:t>1998</w:t>
      </w:r>
      <w:r w:rsidR="000B5ECB">
        <w:t xml:space="preserve">, </w:t>
      </w:r>
      <w:r w:rsidR="000B5ECB" w:rsidRPr="00C545AA">
        <w:rPr>
          <w:color w:val="0000FF"/>
        </w:rPr>
        <w:t>p. 309</w:t>
      </w:r>
      <w:r>
        <w:t>)</w:t>
      </w:r>
    </w:p>
    <w:p w14:paraId="46A10ED8" w14:textId="77777777" w:rsidR="00EF24B7" w:rsidRDefault="00EF24B7" w:rsidP="003670CB">
      <w:pPr>
        <w:spacing w:after="0" w:line="240" w:lineRule="auto"/>
        <w:ind w:left="-5"/>
        <w:jc w:val="right"/>
      </w:pPr>
    </w:p>
    <w:p w14:paraId="1ECD9B9E" w14:textId="4AD03352" w:rsidR="001F658C" w:rsidRDefault="0093413D">
      <w:pPr>
        <w:spacing w:after="260"/>
        <w:ind w:left="-5"/>
      </w:pPr>
      <w:r>
        <w:t xml:space="preserve">The concept of a </w:t>
      </w:r>
      <w:r w:rsidRPr="003670CB">
        <w:rPr>
          <w:i/>
          <w:iCs/>
        </w:rPr>
        <w:t>State</w:t>
      </w:r>
      <w:r>
        <w:t xml:space="preserve"> has two fundamental elements: population and territory. </w:t>
      </w:r>
      <w:r w:rsidR="00DE699E">
        <w:t>The way</w:t>
      </w:r>
      <w:r w:rsidR="00A03809">
        <w:t xml:space="preserve"> a group of people </w:t>
      </w:r>
      <w:r w:rsidR="005D2A05">
        <w:t>is</w:t>
      </w:r>
      <w:r w:rsidR="00A03809">
        <w:t xml:space="preserve"> organized within a delimited territory</w:t>
      </w:r>
      <w:r w:rsidR="00FB2A8D">
        <w:t xml:space="preserve"> involve</w:t>
      </w:r>
      <w:r w:rsidR="003D3D60">
        <w:t>s</w:t>
      </w:r>
      <w:r w:rsidR="00FB2A8D">
        <w:t xml:space="preserve"> a set of rules and policies </w:t>
      </w:r>
      <w:r w:rsidR="004862E0">
        <w:t>whose enforcement require</w:t>
      </w:r>
      <w:r w:rsidR="003D3D60">
        <w:t>s</w:t>
      </w:r>
      <w:r w:rsidR="004862E0">
        <w:t xml:space="preserve"> a “government,” </w:t>
      </w:r>
      <w:r w:rsidR="00A81FB4">
        <w:t xml:space="preserve">as a set of organizational forms that deliver basic </w:t>
      </w:r>
      <w:r w:rsidR="00F7292E">
        <w:t xml:space="preserve">services to its members through delegated authority. </w:t>
      </w:r>
      <w:r w:rsidR="0044015A">
        <w:t xml:space="preserve">The capacity of a State </w:t>
      </w:r>
      <w:r w:rsidR="00EE3198">
        <w:t>is typically defined as the effectiveness of its organizational forms</w:t>
      </w:r>
      <w:r w:rsidR="00037DF6">
        <w:t xml:space="preserve"> to deliver on collectively agreed </w:t>
      </w:r>
      <w:r w:rsidR="00037DF6">
        <w:lastRenderedPageBreak/>
        <w:t>objectives</w:t>
      </w:r>
      <w:r w:rsidR="001C34D2">
        <w:t xml:space="preserve"> (</w:t>
      </w:r>
      <w:r w:rsidR="001C34D2" w:rsidRPr="00115061">
        <w:rPr>
          <w:color w:val="0000FF"/>
        </w:rPr>
        <w:t>World Bank</w:t>
      </w:r>
      <w:r w:rsidR="001C34D2" w:rsidRPr="00C545AA">
        <w:rPr>
          <w:color w:val="000000" w:themeColor="text1"/>
        </w:rPr>
        <w:t>,</w:t>
      </w:r>
      <w:r w:rsidR="001C34D2" w:rsidRPr="00115061">
        <w:rPr>
          <w:color w:val="0000FF"/>
        </w:rPr>
        <w:t xml:space="preserve"> 2017</w:t>
      </w:r>
      <w:r w:rsidR="001C34D2">
        <w:t>)</w:t>
      </w:r>
      <w:r w:rsidR="00037DF6">
        <w:t xml:space="preserve">. </w:t>
      </w:r>
      <w:r w:rsidR="00EC35C3">
        <w:t xml:space="preserve">As </w:t>
      </w:r>
      <w:r w:rsidR="00EC35C3" w:rsidRPr="00115061">
        <w:rPr>
          <w:color w:val="0000FF"/>
        </w:rPr>
        <w:t>Scott</w:t>
      </w:r>
      <w:r w:rsidR="00EC35C3">
        <w:t xml:space="preserve"> (</w:t>
      </w:r>
      <w:r w:rsidR="00EC35C3" w:rsidRPr="00115061">
        <w:rPr>
          <w:color w:val="0000FF"/>
        </w:rPr>
        <w:t>19</w:t>
      </w:r>
      <w:r w:rsidR="008422F9" w:rsidRPr="00115061">
        <w:rPr>
          <w:color w:val="0000FF"/>
        </w:rPr>
        <w:t>98</w:t>
      </w:r>
      <w:r w:rsidR="00EC35C3">
        <w:t xml:space="preserve">) </w:t>
      </w:r>
      <w:r w:rsidR="00B96F09">
        <w:t xml:space="preserve">proposed, the first fundamental purpose </w:t>
      </w:r>
      <w:r w:rsidR="00B06CBC" w:rsidRPr="00B06CBC">
        <w:t>—</w:t>
      </w:r>
      <w:r w:rsidR="008304B1">
        <w:t>a</w:t>
      </w:r>
      <w:r w:rsidR="0078343E">
        <w:t>n indispensable</w:t>
      </w:r>
      <w:r w:rsidR="008304B1">
        <w:t xml:space="preserve"> function</w:t>
      </w:r>
      <w:r w:rsidR="00B06CBC" w:rsidRPr="00B06CBC">
        <w:t>—</w:t>
      </w:r>
      <w:r w:rsidR="008304B1">
        <w:t xml:space="preserve"> </w:t>
      </w:r>
      <w:r w:rsidR="00B96F09">
        <w:t>of a State is to make the population “legible</w:t>
      </w:r>
      <w:r w:rsidR="008304B1">
        <w:t xml:space="preserve">” within a specific territory. </w:t>
      </w:r>
      <w:r w:rsidR="00533644">
        <w:t xml:space="preserve">In his </w:t>
      </w:r>
      <w:r w:rsidR="001D0385">
        <w:t>influential</w:t>
      </w:r>
      <w:r w:rsidR="001E5932">
        <w:t xml:space="preserve"> book “Seeing </w:t>
      </w:r>
      <w:r w:rsidR="008D5E53">
        <w:t>Like</w:t>
      </w:r>
      <w:r w:rsidR="002460DF">
        <w:t xml:space="preserve"> </w:t>
      </w:r>
      <w:r w:rsidR="001E5932">
        <w:t xml:space="preserve">a State”, the author </w:t>
      </w:r>
      <w:r w:rsidR="00D42964">
        <w:t xml:space="preserve">describes his findings after looking at the evolution of societies in </w:t>
      </w:r>
      <w:r w:rsidR="00DB61DB">
        <w:t xml:space="preserve">South East Asia, concluding that </w:t>
      </w:r>
      <w:r w:rsidR="00F01A31">
        <w:t>“</w:t>
      </w:r>
      <w:r w:rsidR="00DE6510">
        <w:t>T</w:t>
      </w:r>
      <w:r w:rsidR="00F01A31">
        <w:t xml:space="preserve">he more </w:t>
      </w:r>
      <w:r w:rsidR="00B31967">
        <w:t>I</w:t>
      </w:r>
      <w:r w:rsidR="00F01A31">
        <w:t xml:space="preserve"> examined</w:t>
      </w:r>
      <w:r w:rsidR="00F95091">
        <w:t xml:space="preserve"> </w:t>
      </w:r>
      <w:r w:rsidR="00DB61DB">
        <w:t xml:space="preserve">these </w:t>
      </w:r>
      <w:r w:rsidR="00F95091">
        <w:t>efforts</w:t>
      </w:r>
      <w:r w:rsidR="00DB61DB">
        <w:t xml:space="preserve"> </w:t>
      </w:r>
      <w:r w:rsidR="00755667">
        <w:t xml:space="preserve">at sedentarization, the more </w:t>
      </w:r>
      <w:r w:rsidR="00B31967">
        <w:t>I</w:t>
      </w:r>
      <w:r w:rsidR="00755667">
        <w:t xml:space="preserve"> came to see them as a </w:t>
      </w:r>
      <w:r w:rsidR="00C8650D">
        <w:t>s</w:t>
      </w:r>
      <w:r w:rsidR="00976C56">
        <w:t>tate</w:t>
      </w:r>
      <w:r w:rsidR="00755667">
        <w:t>’s attempt</w:t>
      </w:r>
      <w:r w:rsidR="007211F7">
        <w:t xml:space="preserve"> to make a society legible, to arrange the population in ways that </w:t>
      </w:r>
      <w:r w:rsidR="00983D86">
        <w:t>simplified the classic</w:t>
      </w:r>
      <w:r w:rsidR="00C8650D">
        <w:t xml:space="preserve"> state</w:t>
      </w:r>
      <w:r w:rsidR="00983D86">
        <w:t xml:space="preserve"> functions of taxation, conscription, </w:t>
      </w:r>
      <w:r w:rsidR="00B31967">
        <w:t>and prevention of rebellion</w:t>
      </w:r>
      <w:r w:rsidR="00093114">
        <w:t xml:space="preserve"> </w:t>
      </w:r>
      <w:r w:rsidR="00B31967">
        <w:t>…</w:t>
      </w:r>
      <w:r w:rsidR="00093114">
        <w:t xml:space="preserve"> </w:t>
      </w:r>
      <w:r w:rsidR="00B31967">
        <w:t>I</w:t>
      </w:r>
      <w:r w:rsidR="0012739F">
        <w:t xml:space="preserve"> began to see </w:t>
      </w:r>
      <w:r w:rsidR="0012739F" w:rsidRPr="003670CB">
        <w:rPr>
          <w:i/>
          <w:iCs/>
        </w:rPr>
        <w:t>legibility</w:t>
      </w:r>
      <w:r w:rsidR="0012739F">
        <w:t xml:space="preserve"> as a central problem of </w:t>
      </w:r>
      <w:r w:rsidR="00C8650D">
        <w:t>s</w:t>
      </w:r>
      <w:r w:rsidR="00976C56">
        <w:t>tate</w:t>
      </w:r>
      <w:r w:rsidR="0012739F">
        <w:t>scraft” (</w:t>
      </w:r>
      <w:r w:rsidR="0012739F" w:rsidRPr="00115061">
        <w:rPr>
          <w:color w:val="0000FF"/>
        </w:rPr>
        <w:t>Scott</w:t>
      </w:r>
      <w:r w:rsidR="0012739F" w:rsidRPr="00C545AA">
        <w:rPr>
          <w:color w:val="000000" w:themeColor="text1"/>
        </w:rPr>
        <w:t>,</w:t>
      </w:r>
      <w:r w:rsidR="0012739F" w:rsidRPr="00115061">
        <w:rPr>
          <w:color w:val="0000FF"/>
        </w:rPr>
        <w:t xml:space="preserve"> </w:t>
      </w:r>
      <w:r w:rsidR="001D0385" w:rsidRPr="00115061">
        <w:rPr>
          <w:color w:val="0000FF"/>
        </w:rPr>
        <w:t>1998</w:t>
      </w:r>
      <w:r w:rsidR="001D0385">
        <w:t>).</w:t>
      </w:r>
      <w:r w:rsidR="00B31967">
        <w:t xml:space="preserve"> </w:t>
      </w:r>
      <w:r w:rsidR="00857711">
        <w:t xml:space="preserve">Legibility, </w:t>
      </w:r>
      <w:r w:rsidR="00C8686F">
        <w:t>in turn</w:t>
      </w:r>
      <w:r w:rsidR="00857711">
        <w:t xml:space="preserve">, can only have an instrumental value as a way to </w:t>
      </w:r>
      <w:r w:rsidR="00816BAB">
        <w:t xml:space="preserve">effectively </w:t>
      </w:r>
      <w:r w:rsidR="008A752A">
        <w:t xml:space="preserve">register, </w:t>
      </w:r>
      <w:r w:rsidR="00231851">
        <w:t xml:space="preserve">exercise control and provide </w:t>
      </w:r>
      <w:r w:rsidR="00816BAB">
        <w:t xml:space="preserve">the services societies expect </w:t>
      </w:r>
      <w:r w:rsidR="00F86A4E">
        <w:t>from a government</w:t>
      </w:r>
      <w:r w:rsidR="00053C25">
        <w:t xml:space="preserve">. </w:t>
      </w:r>
      <w:r w:rsidR="00807945">
        <w:t>Th</w:t>
      </w:r>
      <w:r w:rsidR="00832BA7">
        <w:t xml:space="preserve">e </w:t>
      </w:r>
      <w:r w:rsidR="00976C56">
        <w:t>State</w:t>
      </w:r>
      <w:r w:rsidR="00832BA7">
        <w:t>, as an abstract concept involving population and territory, require a government</w:t>
      </w:r>
      <w:r w:rsidR="00BE6642">
        <w:t xml:space="preserve"> </w:t>
      </w:r>
      <w:r w:rsidR="00B06CBC" w:rsidRPr="00B06CBC">
        <w:t>—</w:t>
      </w:r>
      <w:r w:rsidR="00BE6642">
        <w:t>a set of organizational forms</w:t>
      </w:r>
      <w:r w:rsidR="00B06CBC" w:rsidRPr="00B06CBC">
        <w:t>—</w:t>
      </w:r>
      <w:r w:rsidR="00BE6642">
        <w:t xml:space="preserve">whose shape, dynamics, and effectiveness depends on the way power is exercised among </w:t>
      </w:r>
      <w:r w:rsidR="003C3E57">
        <w:t xml:space="preserve">its members, </w:t>
      </w:r>
      <w:r w:rsidR="00063127">
        <w:t xml:space="preserve">and this is what </w:t>
      </w:r>
      <w:r w:rsidR="003C3E57">
        <w:t>we call governance (</w:t>
      </w:r>
      <w:r w:rsidR="003C3E57" w:rsidRPr="00115061">
        <w:rPr>
          <w:color w:val="0000FF"/>
        </w:rPr>
        <w:t>World Bank</w:t>
      </w:r>
      <w:r w:rsidR="003C3E57" w:rsidRPr="00C545AA">
        <w:rPr>
          <w:color w:val="000000" w:themeColor="text1"/>
        </w:rPr>
        <w:t>,</w:t>
      </w:r>
      <w:r w:rsidR="003C3E57" w:rsidRPr="00115061">
        <w:rPr>
          <w:color w:val="0000FF"/>
        </w:rPr>
        <w:t xml:space="preserve"> 2017</w:t>
      </w:r>
      <w:r w:rsidR="003C3E57">
        <w:t>).</w:t>
      </w:r>
      <w:r w:rsidR="00F95091">
        <w:t xml:space="preserve"> </w:t>
      </w:r>
      <w:r w:rsidR="00F01A31">
        <w:t xml:space="preserve"> </w:t>
      </w:r>
    </w:p>
    <w:p w14:paraId="6EABE518" w14:textId="2FB97DC7" w:rsidR="00F5687E" w:rsidRPr="008C5A17" w:rsidRDefault="005F2A68">
      <w:pPr>
        <w:spacing w:after="260"/>
        <w:ind w:left="-5"/>
      </w:pPr>
      <w:r>
        <w:t xml:space="preserve">Concretely, </w:t>
      </w:r>
      <w:r w:rsidR="002C2291">
        <w:t>States</w:t>
      </w:r>
      <w:r w:rsidR="002C2291" w:rsidRPr="008C5A17">
        <w:t xml:space="preserve"> </w:t>
      </w:r>
      <w:r w:rsidRPr="008C5A17">
        <w:t xml:space="preserve">play a significant role in modern economies, providing goods and services that can be both </w:t>
      </w:r>
      <w:r w:rsidRPr="008C5A17">
        <w:rPr>
          <w:i/>
        </w:rPr>
        <w:t>collective</w:t>
      </w:r>
      <w:r w:rsidRPr="008C5A17">
        <w:t xml:space="preserve">, </w:t>
      </w:r>
      <w:r w:rsidR="00FF3E13">
        <w:t xml:space="preserve">in terms of the internalization of their benefits, </w:t>
      </w:r>
      <w:r w:rsidRPr="008C5A17">
        <w:t>like security</w:t>
      </w:r>
      <w:r w:rsidR="00F00266">
        <w:t xml:space="preserve"> and law enforcement</w:t>
      </w:r>
      <w:r w:rsidRPr="008C5A17">
        <w:t xml:space="preserve">, and </w:t>
      </w:r>
      <w:r w:rsidRPr="008C5A17">
        <w:rPr>
          <w:i/>
        </w:rPr>
        <w:t>individual</w:t>
      </w:r>
      <w:r w:rsidRPr="008C5A17">
        <w:t>, such as healthcare and education (</w:t>
      </w:r>
      <w:r w:rsidRPr="008C5A17">
        <w:rPr>
          <w:color w:val="0000FF"/>
        </w:rPr>
        <w:t>Stiglitz</w:t>
      </w:r>
      <w:r w:rsidRPr="00D86DC9">
        <w:rPr>
          <w:color w:val="0000FF"/>
        </w:rPr>
        <w:t>,</w:t>
      </w:r>
      <w:r w:rsidRPr="008C5A17">
        <w:rPr>
          <w:color w:val="0000FF"/>
        </w:rPr>
        <w:t xml:space="preserve"> Sen</w:t>
      </w:r>
      <w:r w:rsidRPr="00D86DC9">
        <w:rPr>
          <w:color w:val="0000FF"/>
        </w:rPr>
        <w:t>,</w:t>
      </w:r>
      <w:r w:rsidRPr="008C5A17">
        <w:rPr>
          <w:color w:val="0000FF"/>
        </w:rPr>
        <w:t xml:space="preserve"> &amp; Fitoussi</w:t>
      </w:r>
      <w:r w:rsidRPr="008C5A17">
        <w:t xml:space="preserve">, </w:t>
      </w:r>
      <w:r w:rsidRPr="008C5A17">
        <w:rPr>
          <w:color w:val="0000FF"/>
        </w:rPr>
        <w:t>2009</w:t>
      </w:r>
      <w:r w:rsidRPr="008C5A17">
        <w:t xml:space="preserve">). </w:t>
      </w:r>
      <w:r w:rsidR="008730C6">
        <w:t xml:space="preserve">Actors in society </w:t>
      </w:r>
      <w:r w:rsidRPr="008C5A17">
        <w:t xml:space="preserve"> typically consider </w:t>
      </w:r>
      <w:r w:rsidR="002C2291">
        <w:t>the State</w:t>
      </w:r>
      <w:r w:rsidR="002C2291" w:rsidRPr="008C5A17">
        <w:t xml:space="preserve"> </w:t>
      </w:r>
      <w:r w:rsidRPr="008C5A17">
        <w:t xml:space="preserve">responsible for providing a range of essential services, which </w:t>
      </w:r>
      <w:r w:rsidR="008730C6">
        <w:t>range from</w:t>
      </w:r>
      <w:r w:rsidRPr="008C5A17">
        <w:t xml:space="preserve"> infrastructure (e.g.</w:t>
      </w:r>
      <w:r w:rsidR="00E61BB8">
        <w:t>,</w:t>
      </w:r>
      <w:r w:rsidRPr="008C5A17">
        <w:t xml:space="preserve"> roads, bridges, public transportation systems, water, and sewage systems); education; healthcare; public safety and security; social welfare; environmental protection (e.g.</w:t>
      </w:r>
      <w:r w:rsidR="00E61BB8">
        <w:t>,</w:t>
      </w:r>
      <w:r w:rsidRPr="008C5A17">
        <w:t xml:space="preserve"> measures to address pollution, conservation efforts, and response to climate change); justice and regulation (e.g.</w:t>
      </w:r>
      <w:r w:rsidR="00E61BB8">
        <w:t>,</w:t>
      </w:r>
      <w:r w:rsidRPr="008C5A17">
        <w:t xml:space="preserve"> courts, legal aid services, consumer protection, workplace safety); cultural and recreational facilities; public utilities (e.g.</w:t>
      </w:r>
      <w:r w:rsidR="00E61BB8">
        <w:t>,</w:t>
      </w:r>
      <w:r w:rsidRPr="008C5A17">
        <w:t xml:space="preserve"> electricity, gas, and telecommunications services).</w:t>
      </w:r>
      <w:r w:rsidR="00632AE4">
        <w:t xml:space="preserve"> Such services are funded fundamentally by taxation. </w:t>
      </w:r>
    </w:p>
    <w:p w14:paraId="5380B35E" w14:textId="7BD88D17" w:rsidR="00F5687E" w:rsidRPr="008C5A17" w:rsidRDefault="003A130B">
      <w:pPr>
        <w:spacing w:after="246"/>
        <w:ind w:left="-15" w:firstLine="339"/>
      </w:pPr>
      <w:r w:rsidRPr="008C5A17">
        <w:t xml:space="preserve">The extent to which </w:t>
      </w:r>
      <w:r w:rsidR="00B87DA8">
        <w:t>States</w:t>
      </w:r>
      <w:r w:rsidR="00B87DA8" w:rsidRPr="008C5A17">
        <w:t xml:space="preserve"> </w:t>
      </w:r>
      <w:r w:rsidRPr="008C5A17">
        <w:t xml:space="preserve">fulfill the provision of such services, and even the prioritization of different types of services, varies significantly from country to country, </w:t>
      </w:r>
      <w:r w:rsidR="00633B8B">
        <w:t xml:space="preserve">given governance dynamics </w:t>
      </w:r>
      <w:r w:rsidRPr="008C5A17">
        <w:t>and it</w:t>
      </w:r>
      <w:r w:rsidR="00633B8B">
        <w:t>s</w:t>
      </w:r>
      <w:r w:rsidRPr="008C5A17">
        <w:t xml:space="preserve"> evol</w:t>
      </w:r>
      <w:r w:rsidR="00633B8B">
        <w:t xml:space="preserve">ution </w:t>
      </w:r>
      <w:r w:rsidRPr="008C5A17">
        <w:t xml:space="preserve">over time. For example, most </w:t>
      </w:r>
      <w:r w:rsidR="003065D0">
        <w:t xml:space="preserve">European </w:t>
      </w:r>
      <w:r w:rsidRPr="008C5A17">
        <w:t xml:space="preserve">OECD countries saw the creation and rapid evolution of the welfare </w:t>
      </w:r>
      <w:r w:rsidR="00976C56">
        <w:t>State</w:t>
      </w:r>
      <w:r w:rsidR="00C50090">
        <w:t xml:space="preserve">s </w:t>
      </w:r>
      <w:r w:rsidRPr="008C5A17">
        <w:t xml:space="preserve">only in the aftermath of World War II. </w:t>
      </w:r>
    </w:p>
    <w:p w14:paraId="155591D3" w14:textId="3DA9A078" w:rsidR="00F5687E" w:rsidRPr="008C5A17" w:rsidRDefault="003A130B" w:rsidP="003670CB">
      <w:pPr>
        <w:spacing w:after="288"/>
        <w:ind w:left="-15" w:firstLine="339"/>
      </w:pPr>
      <w:r w:rsidRPr="008C5A17">
        <w:t xml:space="preserve">However, the variability in the extent to which </w:t>
      </w:r>
      <w:r w:rsidR="00B87DA8">
        <w:t>States</w:t>
      </w:r>
      <w:r w:rsidR="00B87DA8" w:rsidRPr="008C5A17">
        <w:t xml:space="preserve"> </w:t>
      </w:r>
      <w:r w:rsidRPr="008C5A17">
        <w:t>fulfill the provision of services also varies significantly within countries.</w:t>
      </w:r>
      <w:r w:rsidR="003065D0">
        <w:t xml:space="preserve"> This is where the </w:t>
      </w:r>
      <w:r w:rsidR="00473185">
        <w:t>territorial dimension</w:t>
      </w:r>
      <w:r w:rsidR="003065D0">
        <w:t xml:space="preserve"> becomes particularly important. </w:t>
      </w:r>
      <w:r w:rsidRPr="008C5A17">
        <w:t xml:space="preserve">Using </w:t>
      </w:r>
      <w:r w:rsidRPr="008C5A17">
        <w:rPr>
          <w:color w:val="0000FF"/>
        </w:rPr>
        <w:t xml:space="preserve">O’Donnell </w:t>
      </w:r>
      <w:r w:rsidRPr="008C5A17">
        <w:t>(</w:t>
      </w:r>
      <w:r w:rsidRPr="008C5A17">
        <w:rPr>
          <w:color w:val="0000FF"/>
        </w:rPr>
        <w:t>2010</w:t>
      </w:r>
      <w:r w:rsidRPr="008C5A17">
        <w:t xml:space="preserve">) definitions, the State is not necessarily the </w:t>
      </w:r>
      <w:r w:rsidRPr="008C5A17">
        <w:rPr>
          <w:i/>
        </w:rPr>
        <w:t xml:space="preserve">focal point of a collective identity </w:t>
      </w:r>
      <w:r w:rsidRPr="008C5A17">
        <w:t xml:space="preserve">that transcends social conflicts and divisions. Instead, it can exhibit a </w:t>
      </w:r>
      <w:r w:rsidRPr="008C5A17">
        <w:rPr>
          <w:i/>
        </w:rPr>
        <w:t xml:space="preserve">discontinuous </w:t>
      </w:r>
      <w:r w:rsidRPr="008C5A17">
        <w:t>presence and responsiveness to the needs and interests of citizens across different territories and social groups.</w:t>
      </w:r>
    </w:p>
    <w:p w14:paraId="0EC813F6" w14:textId="0B8FB50A" w:rsidR="00F5687E" w:rsidRPr="008C5A17" w:rsidRDefault="003A130B">
      <w:pPr>
        <w:spacing w:after="261"/>
        <w:ind w:left="-15" w:firstLine="339"/>
      </w:pPr>
      <w:r w:rsidRPr="008C5A17">
        <w:t xml:space="preserve">When </w:t>
      </w:r>
      <w:r w:rsidR="00B87DA8">
        <w:t>States</w:t>
      </w:r>
      <w:r w:rsidR="00B87DA8" w:rsidRPr="008C5A17">
        <w:t xml:space="preserve"> </w:t>
      </w:r>
      <w:r w:rsidRPr="008C5A17">
        <w:t xml:space="preserve">effectively provide essential services such as education, healthcare, and public safety, it enhances social cohesion, fostering a sense of shared identity and belonging among citizens, and trust and legitimacy in the </w:t>
      </w:r>
      <w:r w:rsidR="00B87DA8">
        <w:t>State itself</w:t>
      </w:r>
      <w:r w:rsidRPr="008C5A17">
        <w:t xml:space="preserve">. This, in turn, reinforces the social </w:t>
      </w:r>
      <w:r w:rsidRPr="008C5A17">
        <w:lastRenderedPageBreak/>
        <w:t>compact, which is the implicit agreement between citizens and the</w:t>
      </w:r>
      <w:r w:rsidR="002C2291">
        <w:t xml:space="preserve"> State </w:t>
      </w:r>
      <w:r w:rsidRPr="008C5A17">
        <w:t xml:space="preserve">regarding the rights and responsibilities of each party. </w:t>
      </w:r>
      <w:r w:rsidR="00FF5B7E">
        <w:t xml:space="preserve">This creates a </w:t>
      </w:r>
      <w:r w:rsidR="00473185">
        <w:t>self-reinforcing positive governance dynamic</w:t>
      </w:r>
      <w:r w:rsidR="00FD0616">
        <w:t>: members of society</w:t>
      </w:r>
      <w:r w:rsidRPr="008C5A17">
        <w:t xml:space="preserve"> are more likely to comply with laws and pay taxes</w:t>
      </w:r>
      <w:r w:rsidR="002B0E9A">
        <w:t xml:space="preserve"> (enhancing the </w:t>
      </w:r>
      <w:r w:rsidR="00976C56">
        <w:t>State</w:t>
      </w:r>
      <w:r w:rsidR="002B0E9A">
        <w:t>’s functions of cooperation and coordination)</w:t>
      </w:r>
      <w:r w:rsidRPr="008C5A17">
        <w:t xml:space="preserve">, fostering </w:t>
      </w:r>
      <w:r w:rsidR="003954AF">
        <w:t>better societal outcomes</w:t>
      </w:r>
      <w:r w:rsidRPr="008C5A17">
        <w:t>.</w:t>
      </w:r>
    </w:p>
    <w:p w14:paraId="2CB282B6" w14:textId="095128AD" w:rsidR="00F5687E" w:rsidRPr="008C5A17" w:rsidRDefault="003A130B">
      <w:pPr>
        <w:spacing w:after="261"/>
        <w:ind w:left="-15" w:firstLine="339"/>
      </w:pPr>
      <w:r w:rsidRPr="008C5A17">
        <w:t xml:space="preserve">In instances where the </w:t>
      </w:r>
      <w:r w:rsidR="00B87DA8">
        <w:t>S</w:t>
      </w:r>
      <w:r w:rsidR="00B87DA8" w:rsidRPr="008C5A17">
        <w:t xml:space="preserve">tate </w:t>
      </w:r>
      <w:r w:rsidRPr="008C5A17">
        <w:t>fails to extend its reach with equal strength and efficacy to all individuals and regions, it fosters pockets of exclusion within society. This exclusionary dynamic hampers the ability of individuals belonging to these marginalized groups to fully engage and participate in economic, social, and political spheres</w:t>
      </w:r>
      <w:r w:rsidR="003954AF">
        <w:t>, weakening outcome-legitimacy</w:t>
      </w:r>
      <w:r w:rsidRPr="008C5A17">
        <w:t>. It aggravates grievances and it increases the likelihood of political unrest or insurgency</w:t>
      </w:r>
      <w:r w:rsidR="00E168A1">
        <w:t xml:space="preserve">. </w:t>
      </w:r>
      <w:r w:rsidRPr="008C5A17">
        <w:t xml:space="preserve">When the </w:t>
      </w:r>
      <w:r w:rsidR="00B87DA8">
        <w:t>S</w:t>
      </w:r>
      <w:r w:rsidR="00B87DA8" w:rsidRPr="008C5A17">
        <w:t xml:space="preserve">tate </w:t>
      </w:r>
      <w:r w:rsidRPr="008C5A17">
        <w:t xml:space="preserve">fails to ensure equitable access to its services and opportunities, it perpetuates inequality and undermines </w:t>
      </w:r>
      <w:r w:rsidR="00E168A1">
        <w:t xml:space="preserve">cooperation and </w:t>
      </w:r>
      <w:r w:rsidRPr="008C5A17">
        <w:t>social cohesion.</w:t>
      </w:r>
    </w:p>
    <w:p w14:paraId="574D3863" w14:textId="4E325A2A" w:rsidR="00F5687E" w:rsidRPr="008C5A17" w:rsidRDefault="00AB7510">
      <w:pPr>
        <w:spacing w:after="442"/>
        <w:ind w:left="-15" w:firstLine="339"/>
      </w:pPr>
      <w:r>
        <w:t xml:space="preserve">There are no well-established indices of </w:t>
      </w:r>
      <w:r w:rsidR="00976C56">
        <w:t>State</w:t>
      </w:r>
      <w:r w:rsidR="00A743D4">
        <w:t xml:space="preserve"> density –presence over a specific territory, which is </w:t>
      </w:r>
      <w:r w:rsidR="00134EC0">
        <w:t xml:space="preserve">a pre-condition for effectiveness. The concept of </w:t>
      </w:r>
      <w:r w:rsidR="00976C56">
        <w:t>State</w:t>
      </w:r>
      <w:r w:rsidR="00134EC0">
        <w:t xml:space="preserve"> discontinuity (</w:t>
      </w:r>
      <w:r w:rsidR="00134EC0" w:rsidRPr="00C545AA">
        <w:rPr>
          <w:color w:val="0000FF"/>
        </w:rPr>
        <w:t>O’Donell</w:t>
      </w:r>
      <w:r w:rsidR="00134EC0" w:rsidRPr="00C545AA">
        <w:rPr>
          <w:color w:val="000000" w:themeColor="text1"/>
        </w:rPr>
        <w:t>,</w:t>
      </w:r>
      <w:r w:rsidR="00134EC0" w:rsidRPr="00C545AA">
        <w:rPr>
          <w:color w:val="0000FF"/>
        </w:rPr>
        <w:t xml:space="preserve"> 2010</w:t>
      </w:r>
      <w:r w:rsidR="00134EC0">
        <w:t>)</w:t>
      </w:r>
      <w:r w:rsidR="00FD1C4F">
        <w:t xml:space="preserve"> has not been implemented in a way that can lead to comparisons across territories. </w:t>
      </w:r>
      <w:r w:rsidRPr="008C5A17">
        <w:t xml:space="preserve">In this note, we propose to assess the discontinuity of the </w:t>
      </w:r>
      <w:r w:rsidR="00976C56">
        <w:t>State</w:t>
      </w:r>
      <w:r w:rsidRPr="008C5A17">
        <w:t xml:space="preserve"> on the territory as the inequality of the </w:t>
      </w:r>
      <w:r w:rsidR="00976C56">
        <w:t>State</w:t>
      </w:r>
      <w:r w:rsidRPr="008C5A17">
        <w:t xml:space="preserve">’s density in the different geographical areas, where for density we mean the overall </w:t>
      </w:r>
      <w:r w:rsidR="00E46786">
        <w:t xml:space="preserve">potential </w:t>
      </w:r>
      <w:r w:rsidRPr="008C5A17">
        <w:t xml:space="preserve">effectiveness of </w:t>
      </w:r>
      <w:r w:rsidR="00976C56">
        <w:t>State</w:t>
      </w:r>
      <w:r w:rsidRPr="008C5A17">
        <w:t xml:space="preserve"> intervention in </w:t>
      </w:r>
      <w:r w:rsidR="00E46786">
        <w:t>specific</w:t>
      </w:r>
      <w:r w:rsidRPr="008C5A17">
        <w:t xml:space="preserve"> policy domains.</w:t>
      </w:r>
    </w:p>
    <w:p w14:paraId="4879179D" w14:textId="77777777" w:rsidR="00F5687E" w:rsidRPr="008C5A17" w:rsidRDefault="003A130B">
      <w:pPr>
        <w:pStyle w:val="Heading1"/>
        <w:ind w:left="469" w:hanging="484"/>
      </w:pPr>
      <w:r w:rsidRPr="008C5A17">
        <w:t>The State and public services</w:t>
      </w:r>
    </w:p>
    <w:p w14:paraId="75F0DAD6" w14:textId="1180F299" w:rsidR="00B87DA8" w:rsidRDefault="003A130B">
      <w:pPr>
        <w:spacing w:after="260"/>
        <w:ind w:left="-5"/>
      </w:pPr>
      <w:r w:rsidRPr="008C5A17">
        <w:t xml:space="preserve">Vital public services such as education, healthcare, safe drinking water, and security have been commonly considered in the literature as strong sources of legitimization for </w:t>
      </w:r>
      <w:r w:rsidR="00B87DA8">
        <w:t>S</w:t>
      </w:r>
      <w:r w:rsidR="00B87DA8" w:rsidRPr="008C5A17">
        <w:t>tates</w:t>
      </w:r>
      <w:r w:rsidR="007A68EA">
        <w:t xml:space="preserve">. The main </w:t>
      </w:r>
      <w:r w:rsidR="003E0529">
        <w:t xml:space="preserve">driver is </w:t>
      </w:r>
      <w:r w:rsidR="00C45649">
        <w:t xml:space="preserve">(outcome) </w:t>
      </w:r>
      <w:r w:rsidR="003E0529">
        <w:t xml:space="preserve">legitimacy, namely, the fact that </w:t>
      </w:r>
      <w:r w:rsidRPr="008C5A17">
        <w:t xml:space="preserve">people experience the presence of the </w:t>
      </w:r>
      <w:r w:rsidR="00B87DA8">
        <w:t>S</w:t>
      </w:r>
      <w:r w:rsidR="00B87DA8" w:rsidRPr="008C5A17">
        <w:t xml:space="preserve">tate </w:t>
      </w:r>
      <w:r w:rsidRPr="008C5A17">
        <w:t>through the provision of services they demand and regard as valuable (</w:t>
      </w:r>
      <w:r w:rsidRPr="008C5A17">
        <w:rPr>
          <w:color w:val="0000FF"/>
        </w:rPr>
        <w:t>Mcloughlin</w:t>
      </w:r>
      <w:r w:rsidRPr="008C5A17">
        <w:t xml:space="preserve">, </w:t>
      </w:r>
      <w:r w:rsidRPr="008C5A17">
        <w:rPr>
          <w:color w:val="0000FF"/>
        </w:rPr>
        <w:t>2024</w:t>
      </w:r>
      <w:r w:rsidRPr="008C5A17">
        <w:t xml:space="preserve">), and because </w:t>
      </w:r>
      <w:r w:rsidR="0075191D">
        <w:t>States</w:t>
      </w:r>
      <w:r w:rsidR="0075191D" w:rsidRPr="008C5A17">
        <w:t xml:space="preserve"> </w:t>
      </w:r>
      <w:r w:rsidRPr="008C5A17">
        <w:t xml:space="preserve">historically have played a quintessential role in providing them. </w:t>
      </w:r>
    </w:p>
    <w:p w14:paraId="2E0D0823" w14:textId="1AE7897D" w:rsidR="00B87DA8" w:rsidRDefault="00B87DA8" w:rsidP="00B87DA8">
      <w:pPr>
        <w:spacing w:after="260"/>
        <w:ind w:left="-5"/>
      </w:pPr>
      <w:r>
        <w:t xml:space="preserve">Public service delivery can take various forms, depending on the context, goals, and available resources. It may involve direct provision by </w:t>
      </w:r>
      <w:r w:rsidR="002C2291">
        <w:t>State</w:t>
      </w:r>
      <w:r>
        <w:t xml:space="preserve"> agencies, where the </w:t>
      </w:r>
      <w:r w:rsidR="002C2291">
        <w:t>S</w:t>
      </w:r>
      <w:r>
        <w:t>tate directly manages and delivers services to citizens</w:t>
      </w:r>
      <w:r w:rsidR="0075191D">
        <w:t xml:space="preserve"> (e.g.</w:t>
      </w:r>
      <w:r w:rsidR="004848C5">
        <w:t>,</w:t>
      </w:r>
      <w:r w:rsidR="0075191D">
        <w:t xml:space="preserve"> </w:t>
      </w:r>
      <w:r w:rsidR="00C076FF">
        <w:t xml:space="preserve">an </w:t>
      </w:r>
      <w:r w:rsidR="00DC581B">
        <w:t>education system based on a system of public schools owned by the State, where teachers are State employees)</w:t>
      </w:r>
      <w:r>
        <w:t xml:space="preserve">. Alternatively, </w:t>
      </w:r>
      <w:r w:rsidR="002C2291">
        <w:t>States</w:t>
      </w:r>
      <w:r>
        <w:t xml:space="preserve"> may opt for </w:t>
      </w:r>
      <w:r w:rsidR="00C076FF">
        <w:t xml:space="preserve">outsourcing </w:t>
      </w:r>
      <w:r w:rsidR="00DC581B">
        <w:t>service provision</w:t>
      </w:r>
      <w:r>
        <w:t xml:space="preserve"> to private or non-profit organizations</w:t>
      </w:r>
      <w:r w:rsidR="0024511E">
        <w:t xml:space="preserve">. </w:t>
      </w:r>
      <w:r>
        <w:t xml:space="preserve">In some cases, private provision with regulation is employed, where private entities deliver services under strict </w:t>
      </w:r>
      <w:r w:rsidR="002C2291">
        <w:t>State</w:t>
      </w:r>
      <w:r>
        <w:t xml:space="preserve"> oversight and regulation to ensure quality and accountability</w:t>
      </w:r>
      <w:r w:rsidR="00C076FF">
        <w:t xml:space="preserve"> </w:t>
      </w:r>
      <w:r w:rsidR="0024511E">
        <w:t>(e.g.</w:t>
      </w:r>
      <w:r w:rsidR="0008414B">
        <w:t>,</w:t>
      </w:r>
      <w:r w:rsidR="0024511E">
        <w:t xml:space="preserve"> an education system based on private provision with </w:t>
      </w:r>
      <w:r w:rsidR="0024511E" w:rsidRPr="0024511E">
        <w:t xml:space="preserve">regulations </w:t>
      </w:r>
      <w:r w:rsidR="0024511E">
        <w:t xml:space="preserve">to </w:t>
      </w:r>
      <w:r w:rsidR="0024511E" w:rsidRPr="0024511E">
        <w:t xml:space="preserve">stipulate the curriculum, </w:t>
      </w:r>
      <w:r w:rsidR="009E443A" w:rsidRPr="0024511E">
        <w:t>textbooks</w:t>
      </w:r>
      <w:r w:rsidR="0024511E" w:rsidRPr="0024511E">
        <w:t>, teachers’ pay and conditions, and general norms and standards</w:t>
      </w:r>
      <w:r w:rsidR="0024511E">
        <w:t>)</w:t>
      </w:r>
      <w:r>
        <w:t>. Another model is the Public-Private Partnership (PPP), which combines public sector goals with private sector efficiency, allowing for shared investment and risk in the development and management of public infrastructure and services</w:t>
      </w:r>
      <w:r w:rsidR="0024511E">
        <w:t xml:space="preserve"> (</w:t>
      </w:r>
      <w:r w:rsidR="0024511E" w:rsidRPr="00C545AA">
        <w:rPr>
          <w:color w:val="0000FF"/>
        </w:rPr>
        <w:t>Barrera-Osorio et al</w:t>
      </w:r>
      <w:r w:rsidR="002102F3" w:rsidRPr="00C545AA">
        <w:rPr>
          <w:color w:val="0000FF"/>
        </w:rPr>
        <w:t>.</w:t>
      </w:r>
      <w:r w:rsidR="0024511E" w:rsidRPr="00C545AA">
        <w:rPr>
          <w:color w:val="000000" w:themeColor="text1"/>
        </w:rPr>
        <w:t>,</w:t>
      </w:r>
      <w:r w:rsidR="0024511E">
        <w:t xml:space="preserve"> </w:t>
      </w:r>
      <w:r w:rsidR="0024511E" w:rsidRPr="00C545AA">
        <w:rPr>
          <w:color w:val="0000FF"/>
        </w:rPr>
        <w:t>2020</w:t>
      </w:r>
      <w:r w:rsidR="0024511E">
        <w:t>, provide the analysis of a PPP program in education in Pakistan).</w:t>
      </w:r>
    </w:p>
    <w:p w14:paraId="5A9F9059" w14:textId="2B2E9477" w:rsidR="00B87DA8" w:rsidRDefault="00B87DA8" w:rsidP="00B87DA8">
      <w:pPr>
        <w:spacing w:after="260"/>
        <w:ind w:left="-5"/>
      </w:pPr>
      <w:r>
        <w:lastRenderedPageBreak/>
        <w:t xml:space="preserve">The operationalization of service delivery may involve a range of actors, including central </w:t>
      </w:r>
      <w:r w:rsidR="00976C56">
        <w:t>State</w:t>
      </w:r>
      <w:r>
        <w:t xml:space="preserve"> agencies, which often set national policy and allocate funding; local governments, which are responsible for implementing services at the community level; and other specialized actors, such as quasi-public institutions, non-governmental organizations, or private contractors, which may carry out specific tasks or manage certain services under the oversight of the </w:t>
      </w:r>
      <w:r w:rsidR="002C2291">
        <w:t>State</w:t>
      </w:r>
      <w:r>
        <w:t>.</w:t>
      </w:r>
    </w:p>
    <w:p w14:paraId="3F9EB7FF" w14:textId="6CA994D0" w:rsidR="00B87DA8" w:rsidRDefault="00B87DA8" w:rsidP="00B87DA8">
      <w:pPr>
        <w:spacing w:after="260"/>
        <w:ind w:left="-5"/>
      </w:pPr>
      <w:r>
        <w:t>Each model offers distinct advantages and challenges, and the choice of approach often depends on factors such as cost efficiency, service quality, and political considerations</w:t>
      </w:r>
      <w:r w:rsidR="00C076FF">
        <w:t xml:space="preserve"> (see </w:t>
      </w:r>
      <w:r w:rsidR="00C076FF" w:rsidRPr="00C545AA">
        <w:rPr>
          <w:color w:val="0000FF"/>
        </w:rPr>
        <w:t>Poutvaara</w:t>
      </w:r>
      <w:r w:rsidR="00B44316" w:rsidRPr="00C545AA">
        <w:rPr>
          <w:color w:val="0000FF"/>
        </w:rPr>
        <w:t xml:space="preserve"> </w:t>
      </w:r>
      <w:r w:rsidR="00272017" w:rsidRPr="00C545AA">
        <w:rPr>
          <w:color w:val="0000FF"/>
        </w:rPr>
        <w:t>&amp;</w:t>
      </w:r>
      <w:r w:rsidR="009D78F6">
        <w:rPr>
          <w:color w:val="0000FF"/>
        </w:rPr>
        <w:t xml:space="preserve"> </w:t>
      </w:r>
      <w:r w:rsidR="00C076FF" w:rsidRPr="00C545AA">
        <w:rPr>
          <w:color w:val="0000FF"/>
        </w:rPr>
        <w:t>Jordahl</w:t>
      </w:r>
      <w:r w:rsidR="00C076FF" w:rsidRPr="00C545AA">
        <w:rPr>
          <w:color w:val="000000" w:themeColor="text1"/>
        </w:rPr>
        <w:t>,</w:t>
      </w:r>
      <w:r w:rsidR="00C076FF" w:rsidRPr="00C545AA">
        <w:rPr>
          <w:color w:val="0000FF"/>
        </w:rPr>
        <w:t xml:space="preserve"> 2020</w:t>
      </w:r>
      <w:r w:rsidR="00B44316">
        <w:t>,</w:t>
      </w:r>
      <w:r w:rsidR="00C076FF">
        <w:t xml:space="preserve"> for a recent literature review on the </w:t>
      </w:r>
      <w:r w:rsidR="00C076FF" w:rsidRPr="00C076FF">
        <w:t>desirability of outsourcing the provision of public services</w:t>
      </w:r>
      <w:r w:rsidR="00C076FF">
        <w:t>)</w:t>
      </w:r>
      <w:r>
        <w:t>.</w:t>
      </w:r>
    </w:p>
    <w:p w14:paraId="6F62E275" w14:textId="4705816F" w:rsidR="00B87DA8" w:rsidRDefault="00B87DA8" w:rsidP="00B87DA8">
      <w:pPr>
        <w:spacing w:after="260"/>
        <w:ind w:left="-5"/>
      </w:pPr>
      <w:r>
        <w:t>However, regardless of the mode of delivery, we posit that the State remains ultimately responsible for ensuring the effective provision of services. This responsibility encompasses guaranteeing that services meet established standards of quality, accessibility, and equity, and that public resources are used efficiently. While the State may delegate certain functions or roles to external entities, it retains the oversight and accountability necessary to protect the public interest and ensure that services are delivered in a manner that aligns with societal needs and policy objectives.</w:t>
      </w:r>
    </w:p>
    <w:p w14:paraId="688BC038" w14:textId="00F63D52" w:rsidR="00F5687E" w:rsidRPr="008C5A17" w:rsidRDefault="003A130B">
      <w:pPr>
        <w:spacing w:after="260"/>
        <w:ind w:left="-5"/>
      </w:pPr>
      <w:r w:rsidRPr="008C5A17">
        <w:t xml:space="preserve">Thus, when a </w:t>
      </w:r>
      <w:r w:rsidR="00B87DA8">
        <w:t>State</w:t>
      </w:r>
      <w:r w:rsidR="00B87DA8" w:rsidRPr="008C5A17">
        <w:t xml:space="preserve"> </w:t>
      </w:r>
      <w:r w:rsidRPr="008C5A17">
        <w:t>reliably and consistently supplies public services, it legitimizes itself (</w:t>
      </w:r>
      <w:r w:rsidRPr="008C5A17">
        <w:rPr>
          <w:color w:val="0000FF"/>
        </w:rPr>
        <w:t>World Bank</w:t>
      </w:r>
      <w:r w:rsidRPr="008C5A17">
        <w:t xml:space="preserve">, </w:t>
      </w:r>
      <w:r w:rsidRPr="008C5A17">
        <w:rPr>
          <w:color w:val="0000FF"/>
        </w:rPr>
        <w:t>2017</w:t>
      </w:r>
      <w:r w:rsidRPr="008C5A17">
        <w:t>). Furthermore, inefficiencies in providing these services translate into negative consequences for the social welfare of citizens (</w:t>
      </w:r>
      <w:r w:rsidRPr="008C5A17">
        <w:rPr>
          <w:color w:val="0000FF"/>
        </w:rPr>
        <w:t>Cuadrado-Ballesteros, Garc</w:t>
      </w:r>
      <w:r w:rsidR="00310327">
        <w:rPr>
          <w:color w:val="0000FF"/>
        </w:rPr>
        <w:t>í</w:t>
      </w:r>
      <w:r w:rsidRPr="008C5A17">
        <w:rPr>
          <w:color w:val="0000FF"/>
        </w:rPr>
        <w:t>a-S</w:t>
      </w:r>
      <w:r w:rsidR="00310327">
        <w:rPr>
          <w:color w:val="0000FF"/>
        </w:rPr>
        <w:t>á</w:t>
      </w:r>
      <w:r w:rsidRPr="008C5A17">
        <w:rPr>
          <w:color w:val="0000FF"/>
        </w:rPr>
        <w:t>nchez, &amp; Prado-Lorenzo</w:t>
      </w:r>
      <w:r w:rsidRPr="008C5A17">
        <w:t xml:space="preserve">, </w:t>
      </w:r>
      <w:r w:rsidRPr="008C5A17">
        <w:rPr>
          <w:color w:val="0000FF"/>
        </w:rPr>
        <w:t>2012</w:t>
      </w:r>
      <w:r w:rsidRPr="008C5A17">
        <w:t xml:space="preserve">) that could foster social malaise and be expressed in the form of </w:t>
      </w:r>
      <w:r w:rsidR="00310327">
        <w:t>demonstrations</w:t>
      </w:r>
      <w:r w:rsidRPr="008C5A17">
        <w:t xml:space="preserve">, riots, and violence in general. </w:t>
      </w:r>
      <w:r w:rsidRPr="008C5A17">
        <w:rPr>
          <w:color w:val="0000FF"/>
        </w:rPr>
        <w:t xml:space="preserve">Beath, Christia, </w:t>
      </w:r>
      <w:r w:rsidR="009D78F6">
        <w:rPr>
          <w:color w:val="0000FF"/>
        </w:rPr>
        <w:t>and</w:t>
      </w:r>
      <w:r w:rsidRPr="008C5A17">
        <w:rPr>
          <w:color w:val="0000FF"/>
        </w:rPr>
        <w:t xml:space="preserve"> Enikolopov </w:t>
      </w:r>
      <w:r w:rsidRPr="008C5A17">
        <w:t>(</w:t>
      </w:r>
      <w:r w:rsidRPr="008C5A17">
        <w:rPr>
          <w:color w:val="0000FF"/>
        </w:rPr>
        <w:t>2012</w:t>
      </w:r>
      <w:r w:rsidRPr="008C5A17">
        <w:t xml:space="preserve">), and </w:t>
      </w:r>
      <w:r w:rsidRPr="008C5A17">
        <w:rPr>
          <w:color w:val="0000FF"/>
        </w:rPr>
        <w:t xml:space="preserve">Khanna </w:t>
      </w:r>
      <w:r w:rsidR="009D78F6">
        <w:rPr>
          <w:color w:val="0000FF"/>
        </w:rPr>
        <w:t>and</w:t>
      </w:r>
      <w:r w:rsidRPr="008C5A17">
        <w:rPr>
          <w:color w:val="0000FF"/>
        </w:rPr>
        <w:t xml:space="preserve"> Zimmermann </w:t>
      </w:r>
      <w:r w:rsidRPr="008C5A17">
        <w:t>(</w:t>
      </w:r>
      <w:r w:rsidRPr="008C5A17">
        <w:rPr>
          <w:color w:val="0000FF"/>
        </w:rPr>
        <w:t>2017</w:t>
      </w:r>
      <w:r w:rsidRPr="008C5A17">
        <w:t xml:space="preserve">), show that government spending on public services is associated with a significant decrease in insurgent violence </w:t>
      </w:r>
      <w:r w:rsidR="008552D4" w:rsidRPr="008552D4">
        <w:t>—</w:t>
      </w:r>
      <w:r w:rsidR="00740C09">
        <w:t xml:space="preserve">analyzing the cases of </w:t>
      </w:r>
      <w:r w:rsidRPr="008C5A17">
        <w:t>Afghanistan and India respectively</w:t>
      </w:r>
      <w:r w:rsidR="008552D4" w:rsidRPr="008552D4">
        <w:t>—</w:t>
      </w:r>
      <w:r w:rsidRPr="008C5A17">
        <w:t xml:space="preserve"> while </w:t>
      </w:r>
      <w:r w:rsidRPr="008C5A17">
        <w:rPr>
          <w:color w:val="0000FF"/>
        </w:rPr>
        <w:t xml:space="preserve">Justino </w:t>
      </w:r>
      <w:r w:rsidRPr="008C5A17">
        <w:t>(</w:t>
      </w:r>
      <w:r w:rsidRPr="008C5A17">
        <w:rPr>
          <w:color w:val="0000FF"/>
        </w:rPr>
        <w:t>2015</w:t>
      </w:r>
      <w:r w:rsidRPr="008C5A17">
        <w:t xml:space="preserve">) shows that government expenditure on social services such as health, education, infrastructure, and welfare decreases both the outbreak and escalation of riots across India. Therefore, public services are pivotal for </w:t>
      </w:r>
      <w:r w:rsidR="00976C56">
        <w:t>State</w:t>
      </w:r>
      <w:r w:rsidRPr="008C5A17">
        <w:t xml:space="preserve"> legitimacy and people’s well-being.</w:t>
      </w:r>
    </w:p>
    <w:p w14:paraId="545A0A8C" w14:textId="6B0E772F" w:rsidR="00F5687E" w:rsidRDefault="003A130B">
      <w:pPr>
        <w:spacing w:after="261"/>
        <w:ind w:left="-15" w:firstLine="339"/>
      </w:pPr>
      <w:r>
        <w:t xml:space="preserve">In this paper, we </w:t>
      </w:r>
      <w:r w:rsidR="00DE3C37">
        <w:t>suggest a methodology to build</w:t>
      </w:r>
      <w:r w:rsidR="008552D4">
        <w:t xml:space="preserve"> a</w:t>
      </w:r>
      <w:r w:rsidR="003608EF">
        <w:t xml:space="preserve"> comparable indicator of </w:t>
      </w:r>
      <w:r w:rsidR="00976C56">
        <w:t>State</w:t>
      </w:r>
      <w:r w:rsidR="003608EF">
        <w:t xml:space="preserve"> density and apply </w:t>
      </w:r>
      <w:r w:rsidR="008552D4">
        <w:t xml:space="preserve">it </w:t>
      </w:r>
      <w:r w:rsidR="003608EF">
        <w:t xml:space="preserve">with a limited set of available information. </w:t>
      </w:r>
      <w:r w:rsidR="00E82BCB">
        <w:t xml:space="preserve">The methodology makes use of indicators related to </w:t>
      </w:r>
      <w:r>
        <w:t xml:space="preserve">education, health, water and electricity, and security provision as fundamental interventions of the </w:t>
      </w:r>
      <w:r w:rsidR="00976C56">
        <w:t>State</w:t>
      </w:r>
      <w:r>
        <w:t xml:space="preserve"> that allow us to evaluate its lack of homogeneous consistent presence and responsiveness to the interests of all citizens on a given territory.</w:t>
      </w:r>
      <w:r w:rsidR="007934A1">
        <w:t xml:space="preserve"> The methodology, however, can be expanded to a broader set of </w:t>
      </w:r>
      <w:r w:rsidR="00AB3DAE">
        <w:t xml:space="preserve">indicators of </w:t>
      </w:r>
      <w:r w:rsidR="00976C56">
        <w:t>State</w:t>
      </w:r>
      <w:r w:rsidR="00AB3DAE">
        <w:t xml:space="preserve"> functions.</w:t>
      </w:r>
    </w:p>
    <w:p w14:paraId="1D536D69" w14:textId="6C806E45" w:rsidR="00F5687E" w:rsidRDefault="003A130B">
      <w:pPr>
        <w:spacing w:after="260"/>
        <w:ind w:left="-15" w:firstLine="339"/>
      </w:pPr>
      <w:r>
        <w:t xml:space="preserve">Education is a key concern of citizens and has had a long-standing interest in the literature. </w:t>
      </w:r>
      <w:r>
        <w:rPr>
          <w:color w:val="0000FF"/>
        </w:rPr>
        <w:t xml:space="preserve">Mcloughlin </w:t>
      </w:r>
      <w:r>
        <w:t>(</w:t>
      </w:r>
      <w:r>
        <w:rPr>
          <w:color w:val="0000FF"/>
        </w:rPr>
        <w:t>2024</w:t>
      </w:r>
      <w:r>
        <w:t xml:space="preserve">) uses the illustrative case of free education in Sri Lanka to explore how the “ideational” properties of public services are constructed and manifested in </w:t>
      </w:r>
      <w:r>
        <w:lastRenderedPageBreak/>
        <w:t xml:space="preserve">the political process of </w:t>
      </w:r>
      <w:r w:rsidR="00976C56">
        <w:t>State</w:t>
      </w:r>
      <w:r>
        <w:t xml:space="preserve"> legitimation. The author argues that the relationship between service delivery and </w:t>
      </w:r>
      <w:r w:rsidR="00976C56">
        <w:t>State</w:t>
      </w:r>
      <w:r>
        <w:t xml:space="preserve">s’ legitimacy is not an instrumental equation and warns us that we should pay closer attention to when, how, and why public services carry the underlying normative ideas against which authority is judged. </w:t>
      </w:r>
      <w:r>
        <w:rPr>
          <w:color w:val="0000FF"/>
        </w:rPr>
        <w:t xml:space="preserve">Bereketeab </w:t>
      </w:r>
      <w:r>
        <w:t>(</w:t>
      </w:r>
      <w:r>
        <w:rPr>
          <w:color w:val="0000FF"/>
        </w:rPr>
        <w:t>2020</w:t>
      </w:r>
      <w:r>
        <w:t>), using Eritrea as an empirical case study, examines the role of education in nation-building in postcolonial Africa. The author argues that leaders during this period, aware of the transformative power of education in the region, exerted significant efforts to convert education into a key element to build the nation, and used it to cultivate a sense of national identity and nationhood.</w:t>
      </w:r>
    </w:p>
    <w:p w14:paraId="249912BD" w14:textId="34D8E637" w:rsidR="00F5687E" w:rsidRDefault="003A130B">
      <w:pPr>
        <w:spacing w:after="260"/>
        <w:ind w:left="-15" w:firstLine="339"/>
      </w:pPr>
      <w:r>
        <w:t xml:space="preserve">The provision of public health also plays a crucial role in building </w:t>
      </w:r>
      <w:r w:rsidR="00976C56">
        <w:t>State</w:t>
      </w:r>
      <w:r>
        <w:t xml:space="preserve"> legitimacy and is one of the main concerns for citizens. </w:t>
      </w:r>
      <w:r>
        <w:rPr>
          <w:color w:val="0000FF"/>
        </w:rPr>
        <w:t xml:space="preserve">Bondarenko, </w:t>
      </w:r>
      <w:r w:rsidR="008552D4" w:rsidRPr="008552D4">
        <w:rPr>
          <w:color w:val="0000FF"/>
        </w:rPr>
        <w:t>Krasil'nikova</w:t>
      </w:r>
      <w:r>
        <w:rPr>
          <w:color w:val="0000FF"/>
        </w:rPr>
        <w:t xml:space="preserve">, </w:t>
      </w:r>
      <w:r w:rsidR="009D78F6">
        <w:rPr>
          <w:color w:val="0000FF"/>
        </w:rPr>
        <w:t>and</w:t>
      </w:r>
      <w:r>
        <w:rPr>
          <w:color w:val="0000FF"/>
        </w:rPr>
        <w:t xml:space="preserve"> Shishkin </w:t>
      </w:r>
      <w:r>
        <w:t>(</w:t>
      </w:r>
      <w:r>
        <w:rPr>
          <w:color w:val="0000FF"/>
        </w:rPr>
        <w:t>2009</w:t>
      </w:r>
      <w:r>
        <w:t xml:space="preserve">) carried out a survey of public opinion about equal access to medical services in Russia and found an unconditional demand expressing that the </w:t>
      </w:r>
      <w:r w:rsidR="00976C56">
        <w:t>State</w:t>
      </w:r>
      <w:r>
        <w:t xml:space="preserve"> should provide medical services to citizens free of charge and believe that providing medical services for a fee is an intolerable violation of people’s rights and unjust. </w:t>
      </w:r>
      <w:r>
        <w:rPr>
          <w:color w:val="0000FF"/>
        </w:rPr>
        <w:t xml:space="preserve">Mobarak, Rajkumar, </w:t>
      </w:r>
      <w:r w:rsidR="009D78F6">
        <w:rPr>
          <w:color w:val="0000FF"/>
        </w:rPr>
        <w:t>and</w:t>
      </w:r>
      <w:r>
        <w:rPr>
          <w:color w:val="0000FF"/>
        </w:rPr>
        <w:t xml:space="preserve"> Cropper </w:t>
      </w:r>
      <w:r>
        <w:t>(</w:t>
      </w:r>
      <w:r>
        <w:rPr>
          <w:color w:val="0000FF"/>
        </w:rPr>
        <w:t>2011</w:t>
      </w:r>
      <w:r>
        <w:t xml:space="preserve">) report that voter preferences and income correlate with the distribution of publicly provided health services across counties of Brazil. </w:t>
      </w:r>
      <w:r>
        <w:rPr>
          <w:color w:val="0000FF"/>
        </w:rPr>
        <w:t xml:space="preserve">Ratigan </w:t>
      </w:r>
      <w:r>
        <w:t>(</w:t>
      </w:r>
      <w:r>
        <w:rPr>
          <w:color w:val="0000FF"/>
        </w:rPr>
        <w:t>2022</w:t>
      </w:r>
      <w:r>
        <w:t xml:space="preserve">) studies health care delivery, perceptions of health policy, and </w:t>
      </w:r>
      <w:r w:rsidR="00976C56">
        <w:t>State</w:t>
      </w:r>
      <w:r>
        <w:t xml:space="preserve"> legitimacy in China. The author shows that public health delivery matters to the </w:t>
      </w:r>
      <w:r w:rsidR="00976C56">
        <w:t>State</w:t>
      </w:r>
      <w:r>
        <w:t xml:space="preserve">’s legitimacy, but this link is conditioned on people’s expectations for the </w:t>
      </w:r>
      <w:r w:rsidR="00976C56">
        <w:t>State</w:t>
      </w:r>
      <w:r>
        <w:t>’s provision of healthcare.</w:t>
      </w:r>
    </w:p>
    <w:p w14:paraId="1F709BFA" w14:textId="37FEF940" w:rsidR="00F5687E" w:rsidRDefault="003A130B">
      <w:pPr>
        <w:spacing w:after="261"/>
        <w:ind w:left="-15" w:firstLine="339"/>
      </w:pPr>
      <w:r>
        <w:t xml:space="preserve">Access to piped water and electricity also represent primary concerns for people in low-income and lower-middle-income economies. For instance, when asked about the most pressing problems in their municipalities, Latin American people placed “basic services delivery deficiencies (such as water, electricity, etc.)” in their top three concerns, only surpassed by </w:t>
      </w:r>
      <w:r w:rsidR="00896E9C">
        <w:t>those</w:t>
      </w:r>
      <w:r>
        <w:t xml:space="preserve"> about public security and economic adversities (</w:t>
      </w:r>
      <w:r>
        <w:rPr>
          <w:color w:val="0000FF"/>
        </w:rPr>
        <w:t>Latinobar</w:t>
      </w:r>
      <w:r w:rsidR="001F0CF4" w:rsidRPr="001F0CF4">
        <w:rPr>
          <w:color w:val="0000FF"/>
        </w:rPr>
        <w:t>ó</w:t>
      </w:r>
      <w:r>
        <w:rPr>
          <w:color w:val="0000FF"/>
        </w:rPr>
        <w:t>metro</w:t>
      </w:r>
      <w:r>
        <w:t xml:space="preserve">, </w:t>
      </w:r>
      <w:r>
        <w:rPr>
          <w:color w:val="0000FF"/>
        </w:rPr>
        <w:t>2018</w:t>
      </w:r>
      <w:r>
        <w:t>). These two basic services are often overlooked in high-income economies because their homogeneity across the territory is taken for granted. Nevertheless, the story unfolds differently in low-income economies, where the access to piped water and electricity is heterogeneous, and the quality of these services varies dramatically from the rural to urban sectors.</w:t>
      </w:r>
    </w:p>
    <w:p w14:paraId="73AA8AF0" w14:textId="20F9795E" w:rsidR="004C737D" w:rsidRDefault="003A130B" w:rsidP="004C737D">
      <w:pPr>
        <w:spacing w:after="435"/>
        <w:ind w:left="-15" w:firstLine="339"/>
      </w:pPr>
      <w:r>
        <w:t xml:space="preserve">Following these results, security represents broadly common interests for citizens. In Mexico, for instance, the lack of security is considered the main </w:t>
      </w:r>
      <w:r w:rsidR="00E7141D">
        <w:t>concern for the population</w:t>
      </w:r>
      <w:r>
        <w:t>: more than 42 percent of respondents in a survey mentioned security-related issues as their main concern (</w:t>
      </w:r>
      <w:r>
        <w:rPr>
          <w:color w:val="0000FF"/>
        </w:rPr>
        <w:t>Flores-Mac</w:t>
      </w:r>
      <w:r w:rsidR="00D23128" w:rsidRPr="003670CB">
        <w:rPr>
          <w:color w:val="0000FF"/>
        </w:rPr>
        <w:t>í</w:t>
      </w:r>
      <w:r>
        <w:rPr>
          <w:color w:val="0000FF"/>
        </w:rPr>
        <w:t>as</w:t>
      </w:r>
      <w:r>
        <w:t xml:space="preserve">, </w:t>
      </w:r>
      <w:r>
        <w:rPr>
          <w:color w:val="0000FF"/>
        </w:rPr>
        <w:t>2018</w:t>
      </w:r>
      <w:r>
        <w:t xml:space="preserve">). Historically, security concerns were at the core of public consent for </w:t>
      </w:r>
      <w:r w:rsidR="00976C56">
        <w:t>State</w:t>
      </w:r>
      <w:r>
        <w:t xml:space="preserve"> capacity building and legitimacy (</w:t>
      </w:r>
      <w:r>
        <w:rPr>
          <w:color w:val="0000FF"/>
        </w:rPr>
        <w:t>Besley &amp; Persson</w:t>
      </w:r>
      <w:r>
        <w:t xml:space="preserve">, </w:t>
      </w:r>
      <w:r>
        <w:rPr>
          <w:color w:val="0000FF"/>
        </w:rPr>
        <w:t>2009</w:t>
      </w:r>
      <w:r>
        <w:t xml:space="preserve">; </w:t>
      </w:r>
      <w:r>
        <w:rPr>
          <w:color w:val="0000FF"/>
        </w:rPr>
        <w:t>Dittmar &amp; Meisenzahl</w:t>
      </w:r>
      <w:r>
        <w:t xml:space="preserve">, </w:t>
      </w:r>
      <w:r>
        <w:rPr>
          <w:color w:val="0000FF"/>
        </w:rPr>
        <w:t>2020</w:t>
      </w:r>
      <w:r>
        <w:t xml:space="preserve">), and today there is a consensus regarding the centrality of public safety as one of the </w:t>
      </w:r>
      <w:r w:rsidR="00976C56">
        <w:t>State</w:t>
      </w:r>
      <w:r>
        <w:t>’s main functions (</w:t>
      </w:r>
      <w:r>
        <w:rPr>
          <w:color w:val="0000FF"/>
        </w:rPr>
        <w:t>Flores-Mac</w:t>
      </w:r>
      <w:r w:rsidR="00D23128">
        <w:rPr>
          <w:color w:val="0000FF"/>
        </w:rPr>
        <w:t>í</w:t>
      </w:r>
      <w:r>
        <w:rPr>
          <w:color w:val="0000FF"/>
        </w:rPr>
        <w:t>as</w:t>
      </w:r>
      <w:r>
        <w:t xml:space="preserve">, </w:t>
      </w:r>
      <w:r>
        <w:rPr>
          <w:color w:val="0000FF"/>
        </w:rPr>
        <w:t>2018</w:t>
      </w:r>
      <w:r>
        <w:t xml:space="preserve">; </w:t>
      </w:r>
      <w:r>
        <w:rPr>
          <w:color w:val="0000FF"/>
        </w:rPr>
        <w:t>Tilly</w:t>
      </w:r>
      <w:r>
        <w:t xml:space="preserve">, </w:t>
      </w:r>
      <w:r>
        <w:rPr>
          <w:color w:val="0000FF"/>
        </w:rPr>
        <w:t>2009</w:t>
      </w:r>
      <w:r>
        <w:t xml:space="preserve">). Moreover, when the </w:t>
      </w:r>
      <w:r w:rsidR="004C737D">
        <w:t xml:space="preserve">State </w:t>
      </w:r>
      <w:r>
        <w:t xml:space="preserve">loses direct control of vast areas of the regions it is supposed to control, it allows the possibility that armed actors and individuals affiliated with armed groups engage in criminal activities. </w:t>
      </w:r>
      <w:r>
        <w:rPr>
          <w:color w:val="0000FF"/>
        </w:rPr>
        <w:t>S</w:t>
      </w:r>
      <w:r w:rsidR="00D23128">
        <w:rPr>
          <w:color w:val="0000FF"/>
        </w:rPr>
        <w:t>á</w:t>
      </w:r>
      <w:r>
        <w:rPr>
          <w:color w:val="0000FF"/>
        </w:rPr>
        <w:t xml:space="preserve">nchez de la Sierra </w:t>
      </w:r>
      <w:r>
        <w:t>(</w:t>
      </w:r>
      <w:r>
        <w:rPr>
          <w:color w:val="0000FF"/>
        </w:rPr>
        <w:t>2020</w:t>
      </w:r>
      <w:r>
        <w:t xml:space="preserve">) shows how these groups in the Democratic Republic </w:t>
      </w:r>
      <w:r>
        <w:lastRenderedPageBreak/>
        <w:t xml:space="preserve">of the Congo privately provide essential functions of a </w:t>
      </w:r>
      <w:r w:rsidR="00976C56">
        <w:t>State</w:t>
      </w:r>
      <w:r>
        <w:t xml:space="preserve"> and often gain more legitimacy than the central government. </w:t>
      </w:r>
      <w:r w:rsidR="004C737D">
        <w:t xml:space="preserve">In the </w:t>
      </w:r>
      <w:r w:rsidR="004C737D" w:rsidRPr="004C737D">
        <w:t>former Federally Administered Tribal Areas of Pakistan</w:t>
      </w:r>
      <w:r w:rsidR="004C737D">
        <w:t>,</w:t>
      </w:r>
      <w:r w:rsidR="004C737D" w:rsidRPr="004C737D">
        <w:t xml:space="preserve"> State legitimacy is strongly perceived by civilians who have received public services from the </w:t>
      </w:r>
      <w:r w:rsidR="00976C56">
        <w:t>State</w:t>
      </w:r>
      <w:r w:rsidR="004C737D" w:rsidRPr="004C737D">
        <w:t xml:space="preserve"> and weakly by those who have been exposed to rebel services</w:t>
      </w:r>
      <w:r w:rsidR="004C737D">
        <w:t xml:space="preserve"> (</w:t>
      </w:r>
      <w:r w:rsidR="004C737D" w:rsidRPr="00C545AA">
        <w:rPr>
          <w:color w:val="0000FF"/>
        </w:rPr>
        <w:t>Kubota et al</w:t>
      </w:r>
      <w:r w:rsidR="009167D9" w:rsidRPr="00C545AA">
        <w:rPr>
          <w:color w:val="0000FF"/>
        </w:rPr>
        <w:t>.</w:t>
      </w:r>
      <w:r w:rsidR="004C737D" w:rsidRPr="00C545AA">
        <w:rPr>
          <w:color w:val="000000" w:themeColor="text1"/>
        </w:rPr>
        <w:t>,</w:t>
      </w:r>
      <w:r w:rsidR="004C737D">
        <w:t xml:space="preserve"> </w:t>
      </w:r>
      <w:r w:rsidR="004C737D" w:rsidRPr="00C545AA">
        <w:rPr>
          <w:color w:val="0000FF"/>
        </w:rPr>
        <w:t>2024</w:t>
      </w:r>
      <w:r w:rsidR="004C737D">
        <w:t xml:space="preserve">). </w:t>
      </w:r>
      <w:r>
        <w:t>Henceforth, security lies at the core of public interest and is considered here because of its importance in the hierarchy of public goods.</w:t>
      </w:r>
    </w:p>
    <w:p w14:paraId="6831EA14" w14:textId="492D2295" w:rsidR="00F5687E" w:rsidRDefault="003A130B">
      <w:pPr>
        <w:pStyle w:val="Heading1"/>
        <w:spacing w:after="159"/>
        <w:ind w:left="469" w:hanging="484"/>
      </w:pPr>
      <w:r>
        <w:t>Framework</w:t>
      </w:r>
      <w:r w:rsidR="005D58B4">
        <w:t>: An Index of State Density</w:t>
      </w:r>
      <w:r w:rsidR="0044504B">
        <w:t xml:space="preserve"> and Discontinuity</w:t>
      </w:r>
    </w:p>
    <w:p w14:paraId="5DEDE452" w14:textId="65E7F3F8" w:rsidR="00F5687E" w:rsidRDefault="003A130B">
      <w:pPr>
        <w:spacing w:after="604"/>
        <w:ind w:left="-5"/>
      </w:pPr>
      <w:r>
        <w:t xml:space="preserve">Let us assume that there are </w:t>
      </w:r>
      <w:r>
        <w:rPr>
          <w:i/>
        </w:rPr>
        <w:t xml:space="preserve">i </w:t>
      </w:r>
      <w:r>
        <w:t>= 1</w:t>
      </w:r>
      <w:r>
        <w:rPr>
          <w:i/>
        </w:rPr>
        <w:t>,</w:t>
      </w:r>
      <w:r>
        <w:t>2</w:t>
      </w:r>
      <w:r>
        <w:rPr>
          <w:i/>
        </w:rPr>
        <w:t xml:space="preserve">,...,n </w:t>
      </w:r>
      <w:r>
        <w:t xml:space="preserve">domains of </w:t>
      </w:r>
      <w:r w:rsidR="00976C56">
        <w:t>State</w:t>
      </w:r>
      <w:r>
        <w:t xml:space="preserve"> intervention, and </w:t>
      </w:r>
      <w:r>
        <w:rPr>
          <w:i/>
        </w:rPr>
        <w:t xml:space="preserve">j </w:t>
      </w:r>
      <w:r>
        <w:t>= 1</w:t>
      </w:r>
      <w:r>
        <w:rPr>
          <w:i/>
        </w:rPr>
        <w:t>,</w:t>
      </w:r>
      <w:r>
        <w:t>2</w:t>
      </w:r>
      <w:r>
        <w:rPr>
          <w:i/>
        </w:rPr>
        <w:t xml:space="preserve">,...,m </w:t>
      </w:r>
      <w:r>
        <w:t xml:space="preserve">geographical subdivisions of the </w:t>
      </w:r>
      <w:r w:rsidR="00976C56">
        <w:t>State</w:t>
      </w:r>
      <w:r>
        <w:t xml:space="preserve">. In the following, we will first define what we mean by </w:t>
      </w:r>
      <w:r>
        <w:rPr>
          <w:i/>
        </w:rPr>
        <w:t>effectiveness</w:t>
      </w:r>
      <w:r>
        <w:t xml:space="preserve">, </w:t>
      </w:r>
      <w:r>
        <w:rPr>
          <w:i/>
        </w:rPr>
        <w:t>density</w:t>
      </w:r>
      <w:r>
        <w:t xml:space="preserve">, and </w:t>
      </w:r>
      <w:r>
        <w:rPr>
          <w:i/>
        </w:rPr>
        <w:t xml:space="preserve">discontinuity </w:t>
      </w:r>
      <w:r>
        <w:t>of the State.</w:t>
      </w:r>
    </w:p>
    <w:p w14:paraId="0A5CFC94" w14:textId="77777777" w:rsidR="00F5687E" w:rsidRDefault="003A130B">
      <w:pPr>
        <w:pStyle w:val="Heading2"/>
        <w:spacing w:after="139"/>
        <w:ind w:left="598" w:hanging="613"/>
      </w:pPr>
      <w:r>
        <w:t>Effectiveness</w:t>
      </w:r>
    </w:p>
    <w:p w14:paraId="2C5264A0" w14:textId="0E87544D" w:rsidR="00F5687E" w:rsidRDefault="003A130B">
      <w:pPr>
        <w:spacing w:after="194"/>
        <w:ind w:left="-5"/>
      </w:pPr>
      <w:r>
        <w:t xml:space="preserve">The </w:t>
      </w:r>
      <w:r>
        <w:rPr>
          <w:i/>
        </w:rPr>
        <w:t xml:space="preserve">effectiveness </w:t>
      </w:r>
      <w:r>
        <w:t xml:space="preserve">of the State is defined at the local level as the </w:t>
      </w:r>
      <w:r w:rsidR="00705B0B">
        <w:t>degree</w:t>
      </w:r>
      <w:r>
        <w:t xml:space="preserve"> of the State’s intervention in a specific policy domain.</w:t>
      </w:r>
    </w:p>
    <w:p w14:paraId="6FEB2411" w14:textId="1983629B" w:rsidR="00F5687E" w:rsidRDefault="003A130B">
      <w:pPr>
        <w:spacing w:after="181" w:line="264" w:lineRule="auto"/>
        <w:ind w:left="-5" w:right="-15"/>
      </w:pPr>
      <w:r>
        <w:rPr>
          <w:b/>
        </w:rPr>
        <w:t xml:space="preserve">Definition 3.1 </w:t>
      </w:r>
      <w:r>
        <w:t>(Effectiveness)</w:t>
      </w:r>
      <w:r>
        <w:rPr>
          <w:b/>
        </w:rPr>
        <w:t xml:space="preserve">. </w:t>
      </w:r>
      <m:oMath>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e</m:t>
            </m:r>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oMath>
      <w:r>
        <w:rPr>
          <w:i/>
          <w:vertAlign w:val="subscript"/>
        </w:rPr>
        <w:t xml:space="preserve"> </w:t>
      </w:r>
      <w:r>
        <w:t>∈</w:t>
      </w:r>
      <w:r w:rsidR="008F7179">
        <w:t xml:space="preserve"> ℝ</w:t>
      </w:r>
      <w:r>
        <w:rPr>
          <w:rFonts w:ascii="Calibri" w:eastAsia="Calibri" w:hAnsi="Calibri" w:cs="Calibri"/>
        </w:rPr>
        <w:t xml:space="preserve"> </w:t>
      </w:r>
      <w:r>
        <w:rPr>
          <w:i/>
        </w:rPr>
        <w:t>represents the State effectiveness in the region j with respect to intervention i, and it is a positive function of the level of reach, efficacy, or efficiency of the State in that region for that specific intervention.</w:t>
      </w:r>
    </w:p>
    <w:p w14:paraId="2AD38721" w14:textId="78B9D454" w:rsidR="00F5687E" w:rsidRDefault="003A130B">
      <w:pPr>
        <w:spacing w:after="276"/>
        <w:ind w:left="-15" w:firstLine="339"/>
      </w:pPr>
      <w:r>
        <w:t xml:space="preserve">Note that the specific definition of </w:t>
      </w:r>
      <m:oMath>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e</m:t>
            </m:r>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oMath>
      <w:r>
        <w:t>depends on the characteristics of the policy domain taken into account, and on data availability. For some areas of intervention, it can be expressed as the percentage of the population successfully reached by a service, for instance, the share of the population living in an area connected to electricity, water, or the sewerage system; the share of immunized children; or the share of households reached by the radio or mobile signal. For other domains of State intervention, it can be expressed as the frequency of a service (e.g.</w:t>
      </w:r>
      <w:r w:rsidR="008F7179">
        <w:t>,</w:t>
      </w:r>
      <w:r>
        <w:t xml:space="preserve"> how often in the week solid waste is collected), or as the number of service providers per inhabitant (e.g.</w:t>
      </w:r>
      <w:r w:rsidR="008F7179">
        <w:t>,</w:t>
      </w:r>
      <w:r>
        <w:t xml:space="preserve"> number of doctors per inhabitant). Other definitions of State effectiveness may include the number of hours in a day a given service is accessible (e.g.</w:t>
      </w:r>
      <w:r w:rsidR="008F7179">
        <w:t>,</w:t>
      </w:r>
      <w:r>
        <w:t xml:space="preserve"> electricity); a measure of the capillarity of the network of streets and railways in the region; and so forth.</w:t>
      </w:r>
      <w:r w:rsidR="00705B0B">
        <w:t xml:space="preserve"> </w:t>
      </w:r>
      <w:r w:rsidR="00705B0B" w:rsidRPr="00591FAA">
        <w:rPr>
          <w:rFonts w:cstheme="minorHAnsi"/>
          <w:i/>
          <w:iCs/>
        </w:rPr>
        <w:t>Efficacy</w:t>
      </w:r>
      <w:r w:rsidR="00705B0B">
        <w:rPr>
          <w:rFonts w:cstheme="minorHAnsi"/>
        </w:rPr>
        <w:t xml:space="preserve"> allows us to include dimensions that on the other hand can be measured by an evaluation of the quality of the service received (e.g.</w:t>
      </w:r>
      <w:r w:rsidR="004A6E30">
        <w:rPr>
          <w:rFonts w:cstheme="minorHAnsi"/>
        </w:rPr>
        <w:t>,</w:t>
      </w:r>
      <w:r w:rsidR="00705B0B">
        <w:rPr>
          <w:rFonts w:cstheme="minorHAnsi"/>
        </w:rPr>
        <w:t xml:space="preserve"> share of literate individuals, but also infant mortality rates, to cite two). </w:t>
      </w:r>
      <w:r w:rsidR="00705B0B" w:rsidRPr="004E695A">
        <w:rPr>
          <w:i/>
          <w:iCs/>
        </w:rPr>
        <w:t>Efficiency</w:t>
      </w:r>
      <w:r w:rsidR="00705B0B">
        <w:t xml:space="preserve"> enables us to incorporate dimensions that can be evaluated based on the extent to which unnecessary resources are minimized in the production of a given output (e.g., some measure of waiting times in accessing health services).</w:t>
      </w:r>
    </w:p>
    <w:p w14:paraId="75EAC6B9" w14:textId="65DD8DAF" w:rsidR="00951A50" w:rsidRDefault="00951A50">
      <w:pPr>
        <w:spacing w:after="276"/>
        <w:ind w:left="-15" w:firstLine="339"/>
      </w:pPr>
      <w:r>
        <w:t>The definition of state effectiveness is intentionally broad to encompass any area of state intervention relevant to the cases under study.</w:t>
      </w:r>
    </w:p>
    <w:p w14:paraId="0FF3C6A5" w14:textId="0B060D8D" w:rsidR="00F5687E" w:rsidRDefault="003A130B">
      <w:pPr>
        <w:spacing w:after="289"/>
        <w:ind w:left="-15" w:firstLine="339"/>
      </w:pPr>
      <w:r>
        <w:lastRenderedPageBreak/>
        <w:t xml:space="preserve">Far from being exhaustive, the list of examples above shows that State effectiveness can be measured in a variety of forms, cardinality, and scales. Nevertheless, since in the following, we will need to aggregate the different domains of State intervention, it is of utmost importance to reduce to the same metric and support the different indicators. For this reason, we introduce the concept of </w:t>
      </w:r>
      <w:r>
        <w:rPr>
          <w:i/>
        </w:rPr>
        <w:t>normalized effectiveness</w:t>
      </w:r>
      <w:r>
        <w:t>,</w:t>
      </w:r>
      <w:r w:rsidR="004352EF" w:rsidRPr="004352EF">
        <w:rPr>
          <w:rFonts w:ascii="Cambria Math" w:eastAsiaTheme="minorEastAsia" w:hAnsi="Cambria Math" w:cstheme="minorBidi"/>
          <w:i/>
          <w:iCs/>
          <w:color w:val="000000" w:themeColor="text1"/>
          <w:kern w:val="24"/>
          <w:sz w:val="24"/>
        </w:rPr>
        <w:t xml:space="preserve"> </w:t>
      </w:r>
      <w:bookmarkStart w:id="0" w:name="_Hlk177331245"/>
      <m:oMath>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oMath>
      <w:bookmarkEnd w:id="0"/>
      <w:r>
        <w:t xml:space="preserve"> .</w:t>
      </w:r>
    </w:p>
    <w:p w14:paraId="161870A0" w14:textId="74C96CB8" w:rsidR="00F5687E" w:rsidRDefault="003A130B">
      <w:pPr>
        <w:spacing w:after="78" w:line="328" w:lineRule="auto"/>
        <w:ind w:left="-5" w:right="-15"/>
      </w:pPr>
      <w:r>
        <w:rPr>
          <w:b/>
        </w:rPr>
        <w:t xml:space="preserve">Definition 3.2 </w:t>
      </w:r>
      <w:r>
        <w:t>(Normalized Effectiveness)</w:t>
      </w:r>
      <w:r>
        <w:rPr>
          <w:b/>
        </w:rPr>
        <w:t xml:space="preserve">. </w:t>
      </w:r>
      <m:oMath>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oMath>
      <w:r>
        <w:rPr>
          <w:i/>
          <w:vertAlign w:val="subscript"/>
        </w:rPr>
        <w:t xml:space="preserve"> </w:t>
      </w:r>
      <w:r>
        <w:rPr>
          <w:i/>
        </w:rPr>
        <w:t>is the normalized State effectiveness in region j with respect to intervention i:</w:t>
      </w:r>
    </w:p>
    <w:p w14:paraId="5E1E61F1" w14:textId="426F3D5C" w:rsidR="00F5687E" w:rsidRDefault="003A130B">
      <w:pPr>
        <w:spacing w:after="181" w:line="348" w:lineRule="auto"/>
        <w:ind w:left="-5" w:right="-15"/>
      </w:pPr>
      <w:r>
        <w:rPr>
          <w:rFonts w:ascii="Calibri" w:eastAsia="Calibri" w:hAnsi="Calibri" w:cs="Calibri"/>
        </w:rPr>
        <w:tab/>
      </w:r>
      <m:oMath>
        <m:eqArr>
          <m:eqArrPr>
            <m:maxDist m:val="1"/>
            <m:ctrlPr>
              <w:rPr>
                <w:rFonts w:ascii="Cambria Math" w:eastAsiaTheme="minorEastAsia" w:hAnsi="Cambria Math" w:cstheme="minorBidi"/>
                <w:i/>
                <w:iCs/>
                <w:color w:val="000000" w:themeColor="text1"/>
                <w:kern w:val="24"/>
                <w:szCs w:val="22"/>
              </w:rPr>
            </m:ctrlPr>
          </m:eqArrPr>
          <m:e>
            <w:bookmarkStart w:id="1" w:name="_Hlk176857441"/>
            <w:bookmarkStart w:id="2" w:name="_Hlk177321058"/>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w:bookmarkEnd w:id="1"/>
            <m:r>
              <m:rPr>
                <m:nor/>
              </m:rPr>
              <w:rPr>
                <w:rFonts w:asciiTheme="minorHAnsi" w:eastAsiaTheme="minorEastAsia" w:hAnsi="Calibri" w:cstheme="minorBidi"/>
                <w:color w:val="000000" w:themeColor="text1"/>
                <w:kern w:val="24"/>
                <w:szCs w:val="22"/>
              </w:rPr>
              <m:t> </m:t>
            </m:r>
            <w:bookmarkEnd w:id="2"/>
            <m:r>
              <m:rPr>
                <m:sty m:val="p"/>
              </m:rPr>
              <w:rPr>
                <w:rFonts w:ascii="Cambria Math" w:eastAsiaTheme="minorEastAsia" w:hAnsi="Cambria Math" w:cstheme="minorBidi"/>
                <w:color w:val="000000" w:themeColor="text1"/>
                <w:kern w:val="24"/>
                <w:szCs w:val="22"/>
              </w:rPr>
              <m:t>=</m:t>
            </m:r>
            <m:f>
              <m:fPr>
                <m:ctrlPr>
                  <w:rPr>
                    <w:rFonts w:ascii="Cambria Math" w:eastAsiaTheme="minorEastAsia" w:hAnsi="Cambria Math" w:cstheme="minorBidi"/>
                    <w:i/>
                    <w:iCs/>
                    <w:color w:val="000000" w:themeColor="text1"/>
                    <w:kern w:val="24"/>
                    <w:szCs w:val="22"/>
                  </w:rPr>
                </m:ctrlPr>
              </m:fPr>
              <m:num>
                <m:sSubSup>
                  <m:sSubSupPr>
                    <m:ctrlPr>
                      <w:rPr>
                        <w:rFonts w:ascii="Cambria Math" w:eastAsiaTheme="minorEastAsia" w:hAnsi="Cambria Math" w:cstheme="minorBidi"/>
                        <w:color w:val="000000" w:themeColor="text1"/>
                        <w:kern w:val="24"/>
                        <w:szCs w:val="22"/>
                      </w:rPr>
                    </m:ctrlPr>
                  </m:sSubSupPr>
                  <m:e>
                    <m:r>
                      <m:rPr>
                        <m:sty m:val="p"/>
                      </m:rPr>
                      <w:rPr>
                        <w:rFonts w:ascii="Cambria Math" w:eastAsiaTheme="minorEastAsia" w:hAnsi="Cambria Math" w:cstheme="minorBidi"/>
                        <w:color w:val="000000" w:themeColor="text1"/>
                        <w:kern w:val="24"/>
                        <w:szCs w:val="22"/>
                      </w:rPr>
                      <m:t>e</m:t>
                    </m:r>
                  </m:e>
                  <m:sub>
                    <m:r>
                      <m:rPr>
                        <m:sty m:val="p"/>
                      </m:rPr>
                      <w:rPr>
                        <w:rFonts w:ascii="Cambria Math" w:eastAsiaTheme="minorEastAsia" w:hAnsi="Cambria Math" w:cstheme="minorBidi"/>
                        <w:color w:val="000000" w:themeColor="text1"/>
                        <w:kern w:val="24"/>
                        <w:szCs w:val="22"/>
                      </w:rPr>
                      <m:t>j</m:t>
                    </m:r>
                  </m:sub>
                  <m:sup>
                    <m:r>
                      <m:rPr>
                        <m:sty m:val="p"/>
                      </m:rPr>
                      <w:rPr>
                        <w:rFonts w:ascii="Cambria Math" w:eastAsiaTheme="minorEastAsia" w:hAnsi="Cambria Math" w:cstheme="minorBidi"/>
                        <w:color w:val="000000" w:themeColor="text1"/>
                        <w:kern w:val="24"/>
                        <w:szCs w:val="22"/>
                      </w:rPr>
                      <m:t>i</m:t>
                    </m:r>
                  </m:sup>
                </m:sSubSup>
                <m:r>
                  <w:rPr>
                    <w:rFonts w:ascii="Cambria Math" w:eastAsiaTheme="minorEastAsia" w:hAnsi="Cambria Math" w:cstheme="minorBidi"/>
                    <w:color w:val="000000" w:themeColor="text1"/>
                    <w:kern w:val="24"/>
                    <w:szCs w:val="22"/>
                  </w:rPr>
                  <m:t> -</m:t>
                </m:r>
                <m:sSup>
                  <m:sSupPr>
                    <m:ctrlPr>
                      <w:rPr>
                        <w:rFonts w:ascii="Cambria Math" w:eastAsiaTheme="minorEastAsia" w:hAnsi="Cambria Math" w:cstheme="minorBidi"/>
                        <w:i/>
                        <w:iCs/>
                        <w:color w:val="000000" w:themeColor="text1"/>
                        <w:kern w:val="24"/>
                        <w:szCs w:val="22"/>
                      </w:rPr>
                    </m:ctrlPr>
                  </m:sSupPr>
                  <m:e>
                    <m:bar>
                      <m:barPr>
                        <m:ctrlPr>
                          <w:rPr>
                            <w:rFonts w:ascii="Cambria Math" w:eastAsiaTheme="minorEastAsia" w:hAnsi="Cambria Math" w:cstheme="minorBidi"/>
                            <w:i/>
                            <w:iCs/>
                            <w:color w:val="000000" w:themeColor="text1"/>
                            <w:kern w:val="24"/>
                            <w:szCs w:val="22"/>
                          </w:rPr>
                        </m:ctrlPr>
                      </m:barPr>
                      <m:e>
                        <m:r>
                          <w:rPr>
                            <w:rFonts w:ascii="Cambria Math" w:eastAsiaTheme="minorEastAsia" w:hAnsi="Cambria Math" w:cstheme="minorBidi"/>
                            <w:color w:val="000000" w:themeColor="text1"/>
                            <w:kern w:val="24"/>
                            <w:szCs w:val="22"/>
                          </w:rPr>
                          <m:t>e</m:t>
                        </m:r>
                      </m:e>
                    </m:bar>
                  </m:e>
                  <m:sup>
                    <m:r>
                      <w:rPr>
                        <w:rFonts w:ascii="Cambria Math" w:eastAsiaTheme="minorEastAsia" w:hAnsi="Cambria Math" w:cstheme="minorBidi"/>
                        <w:color w:val="000000" w:themeColor="text1"/>
                        <w:kern w:val="24"/>
                        <w:szCs w:val="22"/>
                      </w:rPr>
                      <m:t>i</m:t>
                    </m:r>
                  </m:sup>
                </m:sSup>
              </m:num>
              <m:den>
                <w:bookmarkStart w:id="3" w:name="_Hlk176857815"/>
                <m:sSup>
                  <m:sSupPr>
                    <m:ctrlPr>
                      <w:rPr>
                        <w:rFonts w:ascii="Cambria Math" w:eastAsiaTheme="minorEastAsia" w:hAnsi="Cambria Math" w:cstheme="minorBidi"/>
                        <w:i/>
                        <w:iCs/>
                        <w:color w:val="000000" w:themeColor="text1"/>
                        <w:kern w:val="24"/>
                        <w:szCs w:val="22"/>
                      </w:rPr>
                    </m:ctrlPr>
                  </m:sSupPr>
                  <m:e>
                    <m:bar>
                      <m:barPr>
                        <m:pos m:val="top"/>
                        <m:ctrlPr>
                          <w:rPr>
                            <w:rFonts w:ascii="Cambria Math" w:eastAsiaTheme="minorEastAsia" w:hAnsi="Cambria Math" w:cstheme="minorBidi"/>
                            <w:i/>
                            <w:iCs/>
                            <w:color w:val="000000" w:themeColor="text1"/>
                            <w:kern w:val="24"/>
                            <w:szCs w:val="22"/>
                          </w:rPr>
                        </m:ctrlPr>
                      </m:barPr>
                      <m:e>
                        <m:r>
                          <w:rPr>
                            <w:rFonts w:ascii="Cambria Math" w:eastAsiaTheme="minorEastAsia" w:hAnsi="Cambria Math" w:cstheme="minorBidi"/>
                            <w:color w:val="000000" w:themeColor="text1"/>
                            <w:kern w:val="24"/>
                            <w:szCs w:val="22"/>
                          </w:rPr>
                          <m:t>e</m:t>
                        </m:r>
                      </m:e>
                    </m:bar>
                  </m:e>
                  <m:sup>
                    <m:r>
                      <w:rPr>
                        <w:rFonts w:ascii="Cambria Math" w:eastAsiaTheme="minorEastAsia" w:hAnsi="Cambria Math" w:cstheme="minorBidi"/>
                        <w:color w:val="000000" w:themeColor="text1"/>
                        <w:kern w:val="24"/>
                        <w:szCs w:val="22"/>
                      </w:rPr>
                      <m:t>i</m:t>
                    </m:r>
                  </m:sup>
                </m:sSup>
                <w:bookmarkEnd w:id="3"/>
                <m:r>
                  <w:rPr>
                    <w:rFonts w:ascii="Cambria Math" w:eastAsiaTheme="minorEastAsia" w:hAnsi="Cambria Math" w:cstheme="minorBidi"/>
                    <w:color w:val="000000" w:themeColor="text1"/>
                    <w:kern w:val="24"/>
                    <w:szCs w:val="22"/>
                  </w:rPr>
                  <m:t>- </m:t>
                </m:r>
                <w:bookmarkStart w:id="4" w:name="_Hlk177320988"/>
                <m:sSup>
                  <m:sSupPr>
                    <m:ctrlPr>
                      <w:rPr>
                        <w:rFonts w:ascii="Cambria Math" w:eastAsiaTheme="minorEastAsia" w:hAnsi="Cambria Math" w:cstheme="minorBidi"/>
                        <w:i/>
                        <w:iCs/>
                        <w:color w:val="000000" w:themeColor="text1"/>
                        <w:kern w:val="24"/>
                        <w:szCs w:val="22"/>
                      </w:rPr>
                    </m:ctrlPr>
                  </m:sSupPr>
                  <m:e>
                    <m:bar>
                      <m:barPr>
                        <m:ctrlPr>
                          <w:rPr>
                            <w:rFonts w:ascii="Cambria Math" w:eastAsiaTheme="minorEastAsia" w:hAnsi="Cambria Math" w:cstheme="minorBidi"/>
                            <w:i/>
                            <w:iCs/>
                            <w:color w:val="000000" w:themeColor="text1"/>
                            <w:kern w:val="24"/>
                            <w:szCs w:val="22"/>
                          </w:rPr>
                        </m:ctrlPr>
                      </m:barPr>
                      <m:e>
                        <m:r>
                          <w:rPr>
                            <w:rFonts w:ascii="Cambria Math" w:eastAsiaTheme="minorEastAsia" w:hAnsi="Cambria Math" w:cstheme="minorBidi"/>
                            <w:color w:val="000000" w:themeColor="text1"/>
                            <w:kern w:val="24"/>
                            <w:szCs w:val="22"/>
                          </w:rPr>
                          <m:t>e</m:t>
                        </m:r>
                      </m:e>
                    </m:bar>
                  </m:e>
                  <m:sup>
                    <m:r>
                      <w:rPr>
                        <w:rFonts w:ascii="Cambria Math" w:eastAsiaTheme="minorEastAsia" w:hAnsi="Cambria Math" w:cstheme="minorBidi"/>
                        <w:color w:val="000000" w:themeColor="text1"/>
                        <w:kern w:val="24"/>
                        <w:szCs w:val="22"/>
                      </w:rPr>
                      <m:t>i</m:t>
                    </m:r>
                  </m:sup>
                </m:sSup>
                <w:bookmarkEnd w:id="4"/>
              </m:den>
            </m:f>
            <m:r>
              <w:rPr>
                <w:rFonts w:ascii="Cambria Math" w:eastAsiaTheme="minorEastAsia" w:hAnsi="Cambria Math" w:cstheme="minorBidi"/>
                <w:color w:val="000000" w:themeColor="text1"/>
                <w:kern w:val="24"/>
                <w:szCs w:val="22"/>
              </w:rPr>
              <m:t xml:space="preserve">  #</m:t>
            </m:r>
            <m:d>
              <m:dPr>
                <m:ctrlPr>
                  <w:rPr>
                    <w:rFonts w:ascii="Cambria Math" w:eastAsiaTheme="minorEastAsia" w:hAnsi="Cambria Math" w:cstheme="minorBidi"/>
                    <w:i/>
                    <w:iCs/>
                    <w:color w:val="000000" w:themeColor="text1"/>
                    <w:kern w:val="24"/>
                    <w:szCs w:val="22"/>
                  </w:rPr>
                </m:ctrlPr>
              </m:dPr>
              <m:e>
                <m:r>
                  <w:rPr>
                    <w:rFonts w:ascii="Cambria Math" w:eastAsiaTheme="minorEastAsia" w:hAnsi="Cambria Math" w:cstheme="minorBidi"/>
                    <w:color w:val="000000" w:themeColor="text1"/>
                    <w:kern w:val="24"/>
                    <w:szCs w:val="22"/>
                  </w:rPr>
                  <m:t>1</m:t>
                </m:r>
              </m:e>
            </m:d>
          </m:e>
        </m:eqArr>
      </m:oMath>
      <w:r>
        <w:rPr>
          <w:i/>
        </w:rPr>
        <w:t xml:space="preserve">where </w:t>
      </w:r>
      <m:oMath>
        <m:sSup>
          <m:sSupPr>
            <m:ctrlPr>
              <w:rPr>
                <w:rFonts w:ascii="Cambria Math" w:eastAsiaTheme="minorEastAsia" w:hAnsi="Cambria Math" w:cstheme="minorBidi"/>
                <w:i/>
                <w:iCs/>
                <w:color w:val="000000" w:themeColor="text1"/>
                <w:kern w:val="24"/>
                <w:szCs w:val="22"/>
              </w:rPr>
            </m:ctrlPr>
          </m:sSupPr>
          <m:e>
            <m:bar>
              <m:barPr>
                <m:ctrlPr>
                  <w:rPr>
                    <w:rFonts w:ascii="Cambria Math" w:eastAsiaTheme="minorEastAsia" w:hAnsi="Cambria Math" w:cstheme="minorBidi"/>
                    <w:i/>
                    <w:iCs/>
                    <w:color w:val="000000" w:themeColor="text1"/>
                    <w:kern w:val="24"/>
                    <w:szCs w:val="22"/>
                  </w:rPr>
                </m:ctrlPr>
              </m:barPr>
              <m:e>
                <m:r>
                  <w:rPr>
                    <w:rFonts w:ascii="Cambria Math" w:eastAsiaTheme="minorEastAsia" w:hAnsi="Cambria Math" w:cstheme="minorBidi"/>
                    <w:color w:val="000000" w:themeColor="text1"/>
                    <w:kern w:val="24"/>
                    <w:szCs w:val="22"/>
                  </w:rPr>
                  <m:t>e</m:t>
                </m:r>
              </m:e>
            </m:bar>
          </m:e>
          <m:sup>
            <m:r>
              <w:rPr>
                <w:rFonts w:ascii="Cambria Math" w:eastAsiaTheme="minorEastAsia" w:hAnsi="Cambria Math" w:cstheme="minorBidi"/>
                <w:color w:val="000000" w:themeColor="text1"/>
                <w:kern w:val="24"/>
                <w:szCs w:val="22"/>
              </w:rPr>
              <m:t>i</m:t>
            </m:r>
          </m:sup>
        </m:sSup>
      </m:oMath>
      <w:r>
        <w:rPr>
          <w:i/>
          <w:vertAlign w:val="superscript"/>
        </w:rPr>
        <w:t xml:space="preserve"> </w:t>
      </w:r>
      <w:r>
        <w:rPr>
          <w:i/>
        </w:rPr>
        <w:t xml:space="preserve">and </w:t>
      </w:r>
      <w:bookmarkStart w:id="5" w:name="_Hlk177321230"/>
      <m:oMath>
        <m:sSup>
          <m:sSupPr>
            <m:ctrlPr>
              <w:rPr>
                <w:rFonts w:ascii="Cambria Math" w:hAnsi="Cambria Math"/>
                <w:i/>
                <w:iCs/>
              </w:rPr>
            </m:ctrlPr>
          </m:sSupPr>
          <m:e>
            <m:bar>
              <m:barPr>
                <m:pos m:val="top"/>
                <m:ctrlPr>
                  <w:rPr>
                    <w:rFonts w:ascii="Cambria Math" w:hAnsi="Cambria Math"/>
                    <w:i/>
                    <w:iCs/>
                  </w:rPr>
                </m:ctrlPr>
              </m:barPr>
              <m:e>
                <m:r>
                  <w:rPr>
                    <w:rFonts w:ascii="Cambria Math" w:hAnsi="Cambria Math"/>
                  </w:rPr>
                  <m:t>e</m:t>
                </m:r>
              </m:e>
            </m:bar>
          </m:e>
          <m:sup>
            <m:r>
              <w:rPr>
                <w:rFonts w:ascii="Cambria Math" w:hAnsi="Cambria Math"/>
              </w:rPr>
              <m:t>i</m:t>
            </m:r>
          </m:sup>
        </m:sSup>
      </m:oMath>
      <w:bookmarkEnd w:id="5"/>
      <w:r>
        <w:rPr>
          <w:i/>
        </w:rPr>
        <w:t>are, respectively, the lower and upper bounds of State effectiveness with respect to intervention i. If the States fails at being effective,</w:t>
      </w:r>
      <w:r w:rsidR="00AD02FB">
        <w:rPr>
          <w:i/>
        </w:rPr>
        <w:t xml:space="preserve"> </w:t>
      </w:r>
      <w:bookmarkStart w:id="6" w:name="_Hlk177321096"/>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j</m:t>
            </m:r>
          </m:sub>
          <m:sup>
            <m:r>
              <w:rPr>
                <w:rFonts w:ascii="Cambria Math" w:hAnsi="Cambria Math"/>
              </w:rPr>
              <m:t>i</m:t>
            </m:r>
          </m:sup>
        </m:sSubSup>
        <m:r>
          <m:rPr>
            <m:nor/>
          </m:rPr>
          <w:rPr>
            <w:rFonts w:ascii="Cambria Math"/>
            <w:i/>
          </w:rPr>
          <m:t>= 0</m:t>
        </m:r>
      </m:oMath>
      <w:bookmarkEnd w:id="6"/>
      <w:r>
        <w:rPr>
          <w:i/>
        </w:rPr>
        <w:t>; on the other hand, if the State reaches the highest possible standard,</w:t>
      </w:r>
      <w:r w:rsidR="00AD02FB">
        <w:rPr>
          <w:i/>
        </w:rPr>
        <w:t xml:space="preserve"> </w:t>
      </w:r>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j</m:t>
            </m:r>
          </m:sub>
          <m:sup>
            <m:r>
              <w:rPr>
                <w:rFonts w:ascii="Cambria Math" w:hAnsi="Cambria Math"/>
              </w:rPr>
              <m:t>i</m:t>
            </m:r>
          </m:sup>
        </m:sSubSup>
        <m:r>
          <m:rPr>
            <m:nor/>
          </m:rPr>
          <w:rPr>
            <w:rFonts w:ascii="Cambria Math" w:hAnsi="Cambria Math"/>
            <w:i/>
          </w:rPr>
          <m:t>= 1</m:t>
        </m:r>
      </m:oMath>
      <w:r>
        <w:rPr>
          <w:i/>
        </w:rPr>
        <w:t>.</w:t>
      </w:r>
    </w:p>
    <w:p w14:paraId="4EA04613" w14:textId="68333921" w:rsidR="00F5687E" w:rsidRDefault="003A130B">
      <w:pPr>
        <w:spacing w:after="331"/>
        <w:ind w:left="-15" w:firstLine="339"/>
      </w:pPr>
      <w:r>
        <w:t xml:space="preserve">Note that the definition of the normalization boundaries </w:t>
      </w:r>
      <m:oMath>
        <m:sSup>
          <m:sSupPr>
            <m:ctrlPr>
              <w:rPr>
                <w:rFonts w:ascii="Cambria Math" w:hAnsi="Cambria Math"/>
                <w:i/>
                <w:iCs/>
              </w:rPr>
            </m:ctrlPr>
          </m:sSupPr>
          <m:e>
            <m:bar>
              <m:barPr>
                <m:ctrlPr>
                  <w:rPr>
                    <w:rFonts w:ascii="Cambria Math" w:hAnsi="Cambria Math"/>
                    <w:i/>
                    <w:iCs/>
                  </w:rPr>
                </m:ctrlPr>
              </m:barPr>
              <m:e>
                <m:r>
                  <w:rPr>
                    <w:rFonts w:ascii="Cambria Math" w:hAnsi="Cambria Math"/>
                  </w:rPr>
                  <m:t>e</m:t>
                </m:r>
              </m:e>
            </m:bar>
          </m:e>
          <m:sup>
            <m:r>
              <w:rPr>
                <w:rFonts w:ascii="Cambria Math" w:hAnsi="Cambria Math"/>
              </w:rPr>
              <m:t>i</m:t>
            </m:r>
          </m:sup>
        </m:sSup>
      </m:oMath>
      <w:r>
        <w:t xml:space="preserve">and </w:t>
      </w:r>
      <m:oMath>
        <m:sSup>
          <m:sSupPr>
            <m:ctrlPr>
              <w:rPr>
                <w:rFonts w:ascii="Cambria Math" w:hAnsi="Cambria Math"/>
                <w:i/>
                <w:iCs/>
              </w:rPr>
            </m:ctrlPr>
          </m:sSupPr>
          <m:e>
            <m:bar>
              <m:barPr>
                <m:pos m:val="top"/>
                <m:ctrlPr>
                  <w:rPr>
                    <w:rFonts w:ascii="Cambria Math" w:hAnsi="Cambria Math"/>
                    <w:i/>
                    <w:iCs/>
                  </w:rPr>
                </m:ctrlPr>
              </m:barPr>
              <m:e>
                <m:r>
                  <w:rPr>
                    <w:rFonts w:ascii="Cambria Math" w:hAnsi="Cambria Math"/>
                  </w:rPr>
                  <m:t>e</m:t>
                </m:r>
              </m:e>
            </m:bar>
          </m:e>
          <m:sup>
            <m:r>
              <w:rPr>
                <w:rFonts w:ascii="Cambria Math" w:hAnsi="Cambria Math"/>
              </w:rPr>
              <m:t>i</m:t>
            </m:r>
          </m:sup>
        </m:sSup>
      </m:oMath>
      <w:r>
        <w:t xml:space="preserve">may be set following an </w:t>
      </w:r>
      <w:r>
        <w:rPr>
          <w:i/>
        </w:rPr>
        <w:t xml:space="preserve">absolute </w:t>
      </w:r>
      <w:r>
        <w:t xml:space="preserve">or a </w:t>
      </w:r>
      <w:r>
        <w:rPr>
          <w:i/>
        </w:rPr>
        <w:t xml:space="preserve">relative </w:t>
      </w:r>
      <w:r>
        <w:t xml:space="preserve">definition. Following the </w:t>
      </w:r>
      <w:r>
        <w:rPr>
          <w:i/>
        </w:rPr>
        <w:t xml:space="preserve">absolute </w:t>
      </w:r>
      <w:r>
        <w:t xml:space="preserve">approach, we may believe that there are universal best and worst in the definition of State effectiveness in some domain. On the other hand, by embracing the </w:t>
      </w:r>
      <w:r>
        <w:rPr>
          <w:i/>
        </w:rPr>
        <w:t xml:space="preserve">relative </w:t>
      </w:r>
      <w:r>
        <w:t>approach, we may consider the observed maximum and minimum level of State effectiveness at a particular point in time as benchmarks. Also, we may select different criteria for the definition of the lower and upper bounds</w:t>
      </w:r>
      <w:r w:rsidR="00F52FB1">
        <w:t xml:space="preserve"> as a way to normalize</w:t>
      </w:r>
      <w:r w:rsidR="00EF34DC">
        <w:t xml:space="preserve"> the indicator</w:t>
      </w:r>
      <w:r>
        <w:t>, as is the case for the Human Development Index (</w:t>
      </w:r>
      <w:r>
        <w:rPr>
          <w:color w:val="0000FF"/>
        </w:rPr>
        <w:t>UNDP</w:t>
      </w:r>
      <w:r>
        <w:t xml:space="preserve">, </w:t>
      </w:r>
      <w:r>
        <w:rPr>
          <w:color w:val="0000FF"/>
        </w:rPr>
        <w:t>2017</w:t>
      </w:r>
      <w:r>
        <w:t>). For example, for the indicator associated with the health dimension, life expectancy, the lower bound is set to 20 years, which is based on the observation that no country in the 20th century had a life expectancy of less than 20 years (relative approach), while the upper bound of one of the indicators linked to the education dimension, expected years of schooling, is set to 18 years, which is the maximum numbers of education years needed to reach upper tertiary education in most countries (absolute approach).</w:t>
      </w:r>
    </w:p>
    <w:p w14:paraId="75AD137A" w14:textId="77777777" w:rsidR="00F5687E" w:rsidRDefault="003A130B">
      <w:pPr>
        <w:pStyle w:val="Heading2"/>
        <w:spacing w:after="139"/>
        <w:ind w:left="598" w:hanging="613"/>
      </w:pPr>
      <w:r>
        <w:t>Density</w:t>
      </w:r>
    </w:p>
    <w:p w14:paraId="0BD12197" w14:textId="77777777" w:rsidR="00F5687E" w:rsidRDefault="003A130B">
      <w:pPr>
        <w:ind w:left="-5"/>
      </w:pPr>
      <w:r>
        <w:t xml:space="preserve">The </w:t>
      </w:r>
      <w:r>
        <w:rPr>
          <w:i/>
        </w:rPr>
        <w:t xml:space="preserve">density </w:t>
      </w:r>
      <w:r>
        <w:t>of the State is defined at the local level as the overall level of State effectiveness in all policy domains.</w:t>
      </w:r>
    </w:p>
    <w:p w14:paraId="1A214AF7" w14:textId="77777777" w:rsidR="008F7179" w:rsidRDefault="008F7179">
      <w:pPr>
        <w:ind w:left="-5"/>
      </w:pPr>
    </w:p>
    <w:p w14:paraId="7102517A" w14:textId="7D2F6DEB" w:rsidR="00F5687E" w:rsidRDefault="003A130B">
      <w:pPr>
        <w:spacing w:after="111" w:line="329" w:lineRule="auto"/>
        <w:ind w:left="-5" w:right="-15"/>
      </w:pPr>
      <w:r>
        <w:rPr>
          <w:b/>
        </w:rPr>
        <w:t xml:space="preserve">Definition 3.3 </w:t>
      </w:r>
      <w:r>
        <w:t>(Density)</w:t>
      </w:r>
      <w:r>
        <w:rPr>
          <w:b/>
        </w:rPr>
        <w:t xml:space="preserve">. </w:t>
      </w:r>
      <m:oMath>
        <m:sSubSup>
          <m:sSubSupPr>
            <m:ctrlPr>
              <w:rPr>
                <w:rFonts w:ascii="Cambria Math" w:hAnsi="Cambria Math"/>
                <w:i/>
                <w:iCs/>
              </w:rPr>
            </m:ctrlPr>
          </m:sSubSupPr>
          <m:e>
            <m:r>
              <w:rPr>
                <w:rFonts w:ascii="Cambria Math" w:hAnsi="Cambria Math"/>
              </w:rPr>
              <m:t>d</m:t>
            </m:r>
          </m:e>
          <m:sub>
            <m:r>
              <w:rPr>
                <w:rFonts w:ascii="Cambria Math" w:hAnsi="Cambria Math"/>
              </w:rPr>
              <m:t>j</m:t>
            </m:r>
          </m:sub>
          <m:sup>
            <m:r>
              <w:rPr>
                <w:rFonts w:ascii="Cambria Math" w:hAnsi="Cambria Math"/>
              </w:rPr>
              <m:t>θ</m:t>
            </m:r>
          </m:sup>
        </m:sSubSup>
      </m:oMath>
      <w:r>
        <w:t>∈ [0</w:t>
      </w:r>
      <w:r>
        <w:rPr>
          <w:i/>
        </w:rPr>
        <w:t>,</w:t>
      </w:r>
      <w:r>
        <w:t xml:space="preserve">1] </w:t>
      </w:r>
      <w:r>
        <w:rPr>
          <w:i/>
        </w:rPr>
        <w:t>is the density of the State in region j, and it is an increasing function of the effectiveness of the State in each intervention in region j:</w:t>
      </w:r>
    </w:p>
    <w:p w14:paraId="42D74D1E" w14:textId="1F98C03E" w:rsidR="003B040B" w:rsidRDefault="003A130B">
      <w:pPr>
        <w:tabs>
          <w:tab w:val="center" w:pos="4314"/>
          <w:tab w:val="right" w:pos="8568"/>
        </w:tabs>
        <w:spacing w:after="141" w:line="259" w:lineRule="auto"/>
        <w:ind w:left="0" w:right="-15" w:firstLine="0"/>
        <w:jc w:val="left"/>
      </w:pPr>
      <w:r>
        <w:rPr>
          <w:rFonts w:ascii="Calibri" w:eastAsia="Calibri" w:hAnsi="Calibri" w:cs="Calibri"/>
        </w:rPr>
        <w:tab/>
      </w:r>
    </w:p>
    <w:p w14:paraId="00FCBB4C" w14:textId="1930F5DF" w:rsidR="00F5687E" w:rsidRDefault="005D2A05">
      <w:pPr>
        <w:tabs>
          <w:tab w:val="center" w:pos="4314"/>
          <w:tab w:val="right" w:pos="8568"/>
        </w:tabs>
        <w:spacing w:after="141" w:line="259" w:lineRule="auto"/>
        <w:ind w:left="0" w:right="-15" w:firstLine="0"/>
        <w:jc w:val="left"/>
      </w:pPr>
      <m:oMathPara>
        <m:oMath>
          <m:eqArr>
            <m:eqArrPr>
              <m:maxDist m:val="1"/>
              <m:ctrlPr>
                <w:rPr>
                  <w:rFonts w:ascii="Cambria Math" w:eastAsia="Cambria Math" w:hAnsi="Cambria Math" w:cstheme="minorBidi"/>
                  <w:i/>
                  <w:color w:val="364046"/>
                  <w:kern w:val="24"/>
                  <w:szCs w:val="22"/>
                </w:rPr>
              </m:ctrlPr>
            </m:eqArrPr>
            <m:e>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d</m:t>
                  </m:r>
                </m:e>
                <m:sub>
                  <m:r>
                    <w:rPr>
                      <w:rFonts w:ascii="Cambria Math" w:eastAsiaTheme="minorEastAsia" w:hAnsi="Cambria Math" w:cstheme="minorBidi"/>
                      <w:color w:val="000000" w:themeColor="text1"/>
                      <w:kern w:val="24"/>
                      <w:szCs w:val="22"/>
                    </w:rPr>
                    <m:t>j</m:t>
                  </m:r>
                </m:sub>
                <m:sup>
                  <m:r>
                    <w:rPr>
                      <w:rFonts w:ascii="Cambria Math" w:eastAsia="Cambria Math" w:hAnsi="Cambria Math" w:cstheme="minorBidi"/>
                      <w:color w:val="000000" w:themeColor="text1"/>
                      <w:kern w:val="24"/>
                      <w:szCs w:val="22"/>
                    </w:rPr>
                    <m:t>θ</m:t>
                  </m:r>
                </m:sup>
              </m:sSubSup>
              <m:r>
                <w:rPr>
                  <w:rFonts w:ascii="Cambria Math" w:eastAsiaTheme="minorEastAsia" w:hAnsi="Cambria Math" w:cstheme="minorBidi"/>
                  <w:color w:val="000000" w:themeColor="text1"/>
                  <w:kern w:val="24"/>
                  <w:szCs w:val="22"/>
                  <w:lang w:val="el-GR"/>
                </w:rPr>
                <m:t> </m:t>
              </m:r>
              <m:r>
                <w:rPr>
                  <w:rFonts w:ascii="Cambria Math" w:eastAsiaTheme="minorEastAsia" w:hAnsi="Cambria Math" w:cstheme="minorBidi"/>
                  <w:color w:val="000000" w:themeColor="text1"/>
                  <w:kern w:val="24"/>
                  <w:szCs w:val="22"/>
                  <w:lang w:val="pt-BR"/>
                </w:rPr>
                <m:t>=</m:t>
              </m:r>
              <m:sSup>
                <m:sSupPr>
                  <m:ctrlPr>
                    <w:rPr>
                      <w:rFonts w:ascii="Cambria Math" w:eastAsiaTheme="minorEastAsia" w:hAnsi="Cambria Math" w:cstheme="minorBidi"/>
                      <w:i/>
                      <w:iCs/>
                      <w:color w:val="000000" w:themeColor="text1"/>
                      <w:kern w:val="24"/>
                      <w:szCs w:val="22"/>
                    </w:rPr>
                  </m:ctrlPr>
                </m:sSupPr>
                <m:e>
                  <m:d>
                    <m:dPr>
                      <m:begChr m:val="["/>
                      <m:endChr m:val="]"/>
                      <m:ctrlPr>
                        <w:rPr>
                          <w:rFonts w:ascii="Cambria Math" w:eastAsiaTheme="minorEastAsia" w:hAnsi="Cambria Math" w:cstheme="minorBidi"/>
                          <w:i/>
                          <w:iCs/>
                          <w:color w:val="000000" w:themeColor="text1"/>
                          <w:kern w:val="24"/>
                          <w:szCs w:val="22"/>
                          <w:lang w:val="pt-BR"/>
                        </w:rPr>
                      </m:ctrlPr>
                    </m:dPr>
                    <m:e>
                      <w:bookmarkStart w:id="7" w:name="_Hlk176857742"/>
                      <m:nary>
                        <m:naryPr>
                          <m:chr m:val="∑"/>
                          <m:ctrlPr>
                            <w:rPr>
                              <w:rFonts w:ascii="Cambria Math" w:eastAsiaTheme="minorEastAsia" w:hAnsi="Cambria Math" w:cstheme="minorBidi"/>
                              <w:i/>
                              <w:iCs/>
                              <w:color w:val="000000" w:themeColor="text1"/>
                              <w:kern w:val="24"/>
                              <w:szCs w:val="22"/>
                              <w:lang w:val="pt-BR"/>
                            </w:rPr>
                          </m:ctrlPr>
                        </m:naryPr>
                        <m:sub>
                          <m:r>
                            <w:rPr>
                              <w:rFonts w:ascii="Cambria Math" w:eastAsiaTheme="minorEastAsia" w:hAnsi="Cambria Math" w:cstheme="minorBidi"/>
                              <w:color w:val="000000" w:themeColor="text1"/>
                              <w:kern w:val="24"/>
                              <w:szCs w:val="22"/>
                            </w:rPr>
                            <m:t>i</m:t>
                          </m:r>
                          <m:r>
                            <w:rPr>
                              <w:rFonts w:ascii="Cambria Math" w:eastAsiaTheme="minorEastAsia" w:hAnsi="Cambria Math" w:cstheme="minorBidi"/>
                              <w:color w:val="000000" w:themeColor="text1"/>
                              <w:kern w:val="24"/>
                              <w:szCs w:val="22"/>
                              <w:lang w:val="pt-BR"/>
                            </w:rPr>
                            <m:t>=</m:t>
                          </m:r>
                          <m:r>
                            <w:rPr>
                              <w:rFonts w:ascii="Cambria Math" w:eastAsiaTheme="minorEastAsia" w:hAnsi="Cambria Math" w:cstheme="minorBidi"/>
                              <w:color w:val="000000" w:themeColor="text1"/>
                              <w:kern w:val="24"/>
                              <w:szCs w:val="22"/>
                            </w:rPr>
                            <m:t>1</m:t>
                          </m:r>
                        </m:sub>
                        <m:sup>
                          <m:r>
                            <w:rPr>
                              <w:rFonts w:ascii="Cambria Math" w:eastAsiaTheme="minorEastAsia" w:hAnsi="Cambria Math" w:cstheme="minorBidi"/>
                              <w:color w:val="000000" w:themeColor="text1"/>
                              <w:kern w:val="24"/>
                              <w:szCs w:val="22"/>
                              <w:lang w:val="pt-BR"/>
                            </w:rPr>
                            <m:t>n</m:t>
                          </m:r>
                        </m:sup>
                        <m:e>
                          <m:sSup>
                            <m:sSupPr>
                              <m:ctrlPr>
                                <w:rPr>
                                  <w:rFonts w:ascii="Cambria Math" w:eastAsiaTheme="minorEastAsia" w:hAnsi="Cambria Math" w:cstheme="minorBidi"/>
                                  <w:i/>
                                  <w:iCs/>
                                  <w:color w:val="000000" w:themeColor="text1"/>
                                  <w:kern w:val="24"/>
                                  <w:szCs w:val="22"/>
                                  <w:lang w:val="pt-BR"/>
                                </w:rPr>
                              </m:ctrlPr>
                            </m:sSupPr>
                            <m:e>
                              <m:r>
                                <w:rPr>
                                  <w:rFonts w:ascii="Cambria Math" w:eastAsiaTheme="minorEastAsia" w:hAnsi="Cambria Math" w:cstheme="minorBidi"/>
                                  <w:color w:val="000000" w:themeColor="text1"/>
                                  <w:kern w:val="24"/>
                                  <w:szCs w:val="22"/>
                                </w:rPr>
                                <m:t>w</m:t>
                              </m:r>
                            </m:e>
                            <m:sup>
                              <m:r>
                                <w:rPr>
                                  <w:rFonts w:ascii="Cambria Math" w:eastAsiaTheme="minorEastAsia" w:hAnsi="Cambria Math" w:cstheme="minorBidi"/>
                                  <w:color w:val="000000" w:themeColor="text1"/>
                                  <w:kern w:val="24"/>
                                  <w:szCs w:val="22"/>
                                </w:rPr>
                                <m:t>i</m:t>
                              </m:r>
                            </m:sup>
                          </m:sSup>
                          <m:r>
                            <w:rPr>
                              <w:rFonts w:ascii="Cambria Math" w:eastAsiaTheme="minorEastAsia" w:hAnsi="Cambria Math" w:cstheme="minorBidi"/>
                              <w:color w:val="000000" w:themeColor="text1"/>
                              <w:kern w:val="24"/>
                              <w:szCs w:val="22"/>
                            </w:rPr>
                            <m:t> </m:t>
                          </m:r>
                          <m:sSup>
                            <m:sSupPr>
                              <m:ctrlPr>
                                <w:rPr>
                                  <w:rFonts w:ascii="Cambria Math" w:eastAsiaTheme="minorEastAsia" w:hAnsi="Cambria Math" w:cstheme="minorBidi"/>
                                  <w:i/>
                                  <w:iCs/>
                                  <w:color w:val="000000" w:themeColor="text1"/>
                                  <w:kern w:val="24"/>
                                  <w:szCs w:val="22"/>
                                </w:rPr>
                              </m:ctrlPr>
                            </m:sSupPr>
                            <m:e>
                              <m:d>
                                <m:dPr>
                                  <m:ctrlPr>
                                    <w:rPr>
                                      <w:rFonts w:ascii="Cambria Math" w:eastAsiaTheme="minorEastAsia" w:hAnsi="Cambria Math" w:cstheme="minorBidi"/>
                                      <w:i/>
                                      <w:iCs/>
                                      <w:color w:val="000000" w:themeColor="text1"/>
                                      <w:kern w:val="24"/>
                                      <w:szCs w:val="22"/>
                                    </w:rPr>
                                  </m:ctrlPr>
                                </m:dPr>
                                <m:e>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rPr>
                                        <m:t>i</m:t>
                                      </m:r>
                                    </m:sup>
                                  </m:sSubSup>
                                </m:e>
                              </m:d>
                            </m:e>
                            <m:sup>
                              <m:r>
                                <w:rPr>
                                  <w:rFonts w:ascii="Cambria Math" w:eastAsia="Cambria Math" w:hAnsi="Cambria Math" w:cstheme="minorBidi"/>
                                  <w:color w:val="000000" w:themeColor="text1"/>
                                  <w:kern w:val="24"/>
                                  <w:szCs w:val="22"/>
                                </w:rPr>
                                <m:t>θ</m:t>
                              </m:r>
                            </m:sup>
                          </m:sSup>
                        </m:e>
                      </m:nary>
                      <w:bookmarkEnd w:id="7"/>
                    </m:e>
                  </m:d>
                </m:e>
                <m:sup>
                  <m:f>
                    <m:fPr>
                      <m:ctrlPr>
                        <w:rPr>
                          <w:rFonts w:ascii="Cambria Math" w:eastAsiaTheme="minorEastAsia" w:hAnsi="Cambria Math" w:cstheme="minorBidi"/>
                          <w:i/>
                          <w:iCs/>
                          <w:color w:val="000000" w:themeColor="text1"/>
                          <w:kern w:val="24"/>
                          <w:szCs w:val="22"/>
                        </w:rPr>
                      </m:ctrlPr>
                    </m:fPr>
                    <m:num>
                      <m:r>
                        <w:rPr>
                          <w:rFonts w:ascii="Cambria Math" w:eastAsiaTheme="minorEastAsia" w:hAnsi="Cambria Math" w:cstheme="minorBidi"/>
                          <w:color w:val="000000" w:themeColor="text1"/>
                          <w:kern w:val="24"/>
                          <w:szCs w:val="22"/>
                        </w:rPr>
                        <m:t>1</m:t>
                      </m:r>
                    </m:num>
                    <m:den>
                      <m:r>
                        <w:rPr>
                          <w:rFonts w:ascii="Cambria Math" w:eastAsia="Cambria Math" w:hAnsi="Cambria Math" w:cstheme="minorBidi"/>
                          <w:color w:val="000000" w:themeColor="text1"/>
                          <w:kern w:val="24"/>
                          <w:szCs w:val="22"/>
                          <w:lang w:val="el-GR"/>
                        </w:rPr>
                        <m:t>θ</m:t>
                      </m:r>
                    </m:den>
                  </m:f>
                </m:sup>
              </m:sSup>
              <m:r>
                <w:rPr>
                  <w:rFonts w:ascii="Cambria Math" w:eastAsia="Cambria Math" w:hAnsi="Cambria Math" w:cstheme="minorBidi"/>
                  <w:color w:val="364046"/>
                  <w:kern w:val="24"/>
                  <w:szCs w:val="22"/>
                </w:rPr>
                <m:t xml:space="preserve"> </m:t>
              </m:r>
              <m:r>
                <w:rPr>
                  <w:rFonts w:ascii="Cambria Math" w:eastAsiaTheme="minorEastAsia" w:hAnsi="Cambria Math" w:cstheme="minorBidi"/>
                  <w:color w:val="000000" w:themeColor="text1"/>
                  <w:kern w:val="24"/>
                  <w:szCs w:val="22"/>
                </w:rPr>
                <m:t>#</m:t>
              </m:r>
              <m:d>
                <m:dPr>
                  <m:ctrlPr>
                    <w:rPr>
                      <w:rFonts w:ascii="Cambria Math" w:eastAsia="Cambria Math" w:hAnsi="Cambria Math" w:cstheme="minorBidi"/>
                      <w:i/>
                      <w:color w:val="364046"/>
                      <w:kern w:val="24"/>
                      <w:szCs w:val="22"/>
                    </w:rPr>
                  </m:ctrlPr>
                </m:dPr>
                <m:e>
                  <m:r>
                    <w:rPr>
                      <w:rFonts w:ascii="Cambria Math" w:eastAsia="Cambria Math" w:hAnsi="Cambria Math" w:cstheme="minorBidi"/>
                      <w:color w:val="364046"/>
                      <w:kern w:val="24"/>
                      <w:szCs w:val="22"/>
                    </w:rPr>
                    <m:t>2</m:t>
                  </m:r>
                </m:e>
              </m:d>
              <m:ctrlPr>
                <w:rPr>
                  <w:rFonts w:ascii="Cambria Math" w:eastAsiaTheme="minorEastAsia" w:hAnsi="Cambria Math" w:cstheme="minorBidi"/>
                  <w:i/>
                  <w:iCs/>
                  <w:color w:val="000000" w:themeColor="text1"/>
                  <w:kern w:val="24"/>
                  <w:szCs w:val="22"/>
                </w:rPr>
              </m:ctrlPr>
            </m:e>
          </m:eqArr>
        </m:oMath>
      </m:oMathPara>
    </w:p>
    <w:p w14:paraId="7AA9FD64" w14:textId="14A8A9AF" w:rsidR="00F5687E" w:rsidRDefault="003A130B">
      <w:pPr>
        <w:spacing w:after="216" w:line="264" w:lineRule="auto"/>
        <w:ind w:left="-5" w:right="-15"/>
      </w:pPr>
      <w:r>
        <w:rPr>
          <w:i/>
        </w:rPr>
        <w:t>where w</w:t>
      </w:r>
      <w:r>
        <w:rPr>
          <w:i/>
          <w:vertAlign w:val="superscript"/>
        </w:rPr>
        <w:t xml:space="preserve">i </w:t>
      </w:r>
      <w:r>
        <w:rPr>
          <w:i/>
        </w:rPr>
        <w:t xml:space="preserve">is the weight attributed to dimension i, s.t. </w:t>
      </w:r>
      <m:oMath>
        <m:nary>
          <m:naryPr>
            <m:chr m:val="∑"/>
            <m:ctrlPr>
              <w:rPr>
                <w:rFonts w:ascii="Cambria Math" w:eastAsiaTheme="minorEastAsia" w:hAnsi="Cambria Math" w:cstheme="minorBidi"/>
                <w:i/>
                <w:iCs/>
                <w:color w:val="364046"/>
                <w:kern w:val="24"/>
                <w:szCs w:val="22"/>
                <w:lang w:val="pt-BR"/>
              </w:rPr>
            </m:ctrlPr>
          </m:naryPr>
          <m:sub>
            <m:r>
              <w:rPr>
                <w:rFonts w:ascii="Cambria Math" w:eastAsiaTheme="minorEastAsia" w:hAnsi="Cambria Math" w:cstheme="minorBidi"/>
                <w:color w:val="364046"/>
                <w:kern w:val="24"/>
                <w:szCs w:val="22"/>
              </w:rPr>
              <m:t>i</m:t>
            </m:r>
            <m:r>
              <w:rPr>
                <w:rFonts w:ascii="Cambria Math" w:eastAsiaTheme="minorEastAsia" w:hAnsi="Cambria Math" w:cstheme="minorBidi"/>
                <w:color w:val="364046"/>
                <w:kern w:val="24"/>
                <w:szCs w:val="22"/>
                <w:lang w:val="pt-BR"/>
              </w:rPr>
              <m:t>=</m:t>
            </m:r>
            <m:r>
              <w:rPr>
                <w:rFonts w:ascii="Cambria Math" w:eastAsiaTheme="minorEastAsia" w:hAnsi="Cambria Math" w:cstheme="minorBidi"/>
                <w:color w:val="364046"/>
                <w:kern w:val="24"/>
                <w:szCs w:val="22"/>
              </w:rPr>
              <m:t>1</m:t>
            </m:r>
          </m:sub>
          <m:sup>
            <m:r>
              <w:rPr>
                <w:rFonts w:ascii="Cambria Math" w:eastAsiaTheme="minorEastAsia" w:hAnsi="Cambria Math" w:cstheme="minorBidi"/>
                <w:color w:val="364046"/>
                <w:kern w:val="24"/>
                <w:szCs w:val="22"/>
                <w:lang w:val="pt-BR"/>
              </w:rPr>
              <m:t>n</m:t>
            </m:r>
          </m:sup>
          <m:e>
            <m:sSup>
              <m:sSupPr>
                <m:ctrlPr>
                  <w:rPr>
                    <w:rFonts w:ascii="Cambria Math" w:eastAsiaTheme="minorEastAsia" w:hAnsi="Cambria Math" w:cstheme="minorBidi"/>
                    <w:i/>
                    <w:iCs/>
                    <w:color w:val="364046"/>
                    <w:kern w:val="24"/>
                    <w:szCs w:val="22"/>
                    <w:lang w:val="pt-BR"/>
                  </w:rPr>
                </m:ctrlPr>
              </m:sSupPr>
              <m:e>
                <m:r>
                  <w:rPr>
                    <w:rFonts w:ascii="Cambria Math" w:eastAsiaTheme="minorEastAsia" w:hAnsi="Cambria Math" w:cstheme="minorBidi"/>
                    <w:color w:val="364046"/>
                    <w:kern w:val="24"/>
                    <w:szCs w:val="22"/>
                  </w:rPr>
                  <m:t>w</m:t>
                </m:r>
              </m:e>
              <m:sup>
                <m:r>
                  <w:rPr>
                    <w:rFonts w:ascii="Cambria Math" w:eastAsiaTheme="minorEastAsia" w:hAnsi="Cambria Math" w:cstheme="minorBidi"/>
                    <w:color w:val="364046"/>
                    <w:kern w:val="24"/>
                    <w:szCs w:val="22"/>
                  </w:rPr>
                  <m:t>i</m:t>
                </m:r>
              </m:sup>
            </m:sSup>
            <m:r>
              <w:rPr>
                <w:rFonts w:ascii="Cambria Math" w:eastAsiaTheme="minorEastAsia" w:hAnsi="Cambria Math" w:cstheme="minorBidi"/>
                <w:color w:val="364046"/>
                <w:kern w:val="24"/>
                <w:szCs w:val="22"/>
              </w:rPr>
              <m:t> =1</m:t>
            </m:r>
          </m:e>
        </m:nary>
      </m:oMath>
      <w:r>
        <w:rPr>
          <w:i/>
        </w:rPr>
        <w:t xml:space="preserve">, and θ </w:t>
      </w:r>
      <w:r>
        <w:t>∈</w:t>
      </w:r>
      <w:r w:rsidR="00D37948">
        <w:t xml:space="preserve"> </w:t>
      </w:r>
      <w:r w:rsidR="008F7179">
        <w:rPr>
          <w:rFonts w:ascii="Cambria Math" w:eastAsia="Calibri" w:hAnsi="Cambria Math" w:cs="Calibri"/>
        </w:rPr>
        <w:t>ℝ</w:t>
      </w:r>
      <w:r>
        <w:rPr>
          <w:vertAlign w:val="superscript"/>
        </w:rPr>
        <w:t xml:space="preserve">+ </w:t>
      </w:r>
      <w:r>
        <w:rPr>
          <w:i/>
        </w:rPr>
        <w:t>regulates the elasticity of substitution among the different policy domains.</w:t>
      </w:r>
    </w:p>
    <w:p w14:paraId="666ADAAA" w14:textId="77777777" w:rsidR="00F5687E" w:rsidRDefault="003A130B">
      <w:pPr>
        <w:spacing w:after="464"/>
        <w:ind w:left="-15" w:firstLine="339"/>
      </w:pPr>
      <w:r>
        <w:t xml:space="preserve">Let us consider </w:t>
      </w:r>
      <w:r>
        <w:rPr>
          <w:i/>
        </w:rPr>
        <w:t>w</w:t>
      </w:r>
      <w:r>
        <w:rPr>
          <w:i/>
          <w:vertAlign w:val="superscript"/>
        </w:rPr>
        <w:t xml:space="preserve">i </w:t>
      </w:r>
      <w:r>
        <w:t>= 1</w:t>
      </w:r>
      <w:r>
        <w:rPr>
          <w:i/>
        </w:rPr>
        <w:t xml:space="preserve">/n </w:t>
      </w:r>
      <w:r>
        <w:t xml:space="preserve">for each </w:t>
      </w:r>
      <w:r>
        <w:rPr>
          <w:i/>
        </w:rPr>
        <w:t xml:space="preserve">i </w:t>
      </w:r>
      <w:r>
        <w:t>= 1</w:t>
      </w:r>
      <w:r>
        <w:rPr>
          <w:i/>
        </w:rPr>
        <w:t>,</w:t>
      </w:r>
      <w:r>
        <w:t>2</w:t>
      </w:r>
      <w:r>
        <w:rPr>
          <w:i/>
        </w:rPr>
        <w:t>,...,n</w:t>
      </w:r>
      <w:r>
        <w:t xml:space="preserve">: for simplicity of exposition, every dimension counts equally in defining the State density. If </w:t>
      </w:r>
      <w:r>
        <w:rPr>
          <w:i/>
        </w:rPr>
        <w:t xml:space="preserve">θ </w:t>
      </w:r>
      <w:r>
        <w:t xml:space="preserve">= 1, the State’s density boils down to the unweighted arithmetic mean of the levels of efficiency in the different policy areas, which will be considered </w:t>
      </w:r>
      <w:r>
        <w:rPr>
          <w:i/>
        </w:rPr>
        <w:t>perfect substitute</w:t>
      </w:r>
      <w:r>
        <w:t xml:space="preserve">. For values of </w:t>
      </w:r>
      <w:r>
        <w:rPr>
          <w:i/>
        </w:rPr>
        <w:t xml:space="preserve">θ &gt; </w:t>
      </w:r>
      <w:r>
        <w:t xml:space="preserve">1, high effectiveness in one sector will compensate more and more for low efficiency in other sectors. On the other hand, if </w:t>
      </w:r>
      <w:r>
        <w:rPr>
          <w:i/>
        </w:rPr>
        <w:t xml:space="preserve">θ &lt; </w:t>
      </w:r>
      <w:r>
        <w:t xml:space="preserve">1, we will introduce some complementarities between the different areas of intervention, and we will give more and more weight to the area with the least effectiveness. Finally, if </w:t>
      </w:r>
      <w:r>
        <w:rPr>
          <w:i/>
        </w:rPr>
        <w:t xml:space="preserve">θ </w:t>
      </w:r>
      <w:r>
        <w:t xml:space="preserve">= 0, dimensions will be considered as </w:t>
      </w:r>
      <w:r>
        <w:rPr>
          <w:i/>
        </w:rPr>
        <w:t>perfect complements</w:t>
      </w:r>
      <w:r>
        <w:t>, and hence the level of density will be determined by the lowest level of efficiency in each region.</w:t>
      </w:r>
    </w:p>
    <w:p w14:paraId="2C53A25F" w14:textId="5CA7051F" w:rsidR="00F5687E" w:rsidRDefault="003A130B">
      <w:pPr>
        <w:spacing w:after="342" w:line="264" w:lineRule="auto"/>
        <w:ind w:left="-5" w:right="-15"/>
      </w:pPr>
      <w:r>
        <w:rPr>
          <w:b/>
        </w:rPr>
        <w:t xml:space="preserve">Example 3.1. </w:t>
      </w:r>
      <w:r>
        <w:rPr>
          <w:i/>
        </w:rPr>
        <w:t xml:space="preserve">Take for example a country with two regions, A and B, and two observed policy areas </w:t>
      </w:r>
      <w:r>
        <w:t xml:space="preserve">1 </w:t>
      </w:r>
      <w:r>
        <w:rPr>
          <w:i/>
        </w:rPr>
        <w:t xml:space="preserve">and </w:t>
      </w:r>
      <w:r>
        <w:t>2</w:t>
      </w:r>
      <w:r>
        <w:rPr>
          <w:i/>
        </w:rPr>
        <w:t>, with State reach (</w:t>
      </w:r>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A</m:t>
            </m:r>
          </m:sub>
          <m:sup>
            <m:r>
              <w:rPr>
                <w:rFonts w:ascii="Cambria Math" w:hAnsi="Cambria Math"/>
              </w:rPr>
              <m:t>1</m:t>
            </m:r>
          </m:sup>
        </m:sSubSup>
        <m:r>
          <w:rPr>
            <w:rFonts w:ascii="Cambria Math" w:hAnsi="Cambria Math"/>
          </w:rPr>
          <m:t>=0.4</m:t>
        </m:r>
      </m:oMath>
      <w:r>
        <w:rPr>
          <w:i/>
        </w:rPr>
        <w:t xml:space="preserve">, </w:t>
      </w:r>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A</m:t>
            </m:r>
          </m:sub>
          <m:sup>
            <m:r>
              <w:rPr>
                <w:rFonts w:ascii="Cambria Math" w:hAnsi="Cambria Math"/>
              </w:rPr>
              <m:t>2</m:t>
            </m:r>
          </m:sup>
        </m:sSubSup>
        <m:r>
          <w:rPr>
            <w:rFonts w:ascii="Cambria Math" w:hAnsi="Cambria Math"/>
          </w:rPr>
          <m:t xml:space="preserve">=0 </m:t>
        </m:r>
      </m:oMath>
      <w:r>
        <w:rPr>
          <w:i/>
        </w:rPr>
        <w:t>), (</w:t>
      </w:r>
      <m:oMath>
        <m:sSubSup>
          <m:sSubSupPr>
            <m:ctrlPr>
              <w:rPr>
                <w:rFonts w:ascii="Cambria Math" w:hAnsi="Cambria Math"/>
                <w:i/>
                <w:iCs/>
              </w:rPr>
            </m:ctrlPr>
          </m:sSubSupPr>
          <m:e>
            <m:acc>
              <m:accPr>
                <m:chr m:val="̃"/>
                <m:ctrlPr>
                  <w:rPr>
                    <w:rFonts w:ascii="Cambria Math" w:hAnsi="Cambria Math"/>
                    <w:i/>
                    <w:iCs/>
                  </w:rPr>
                </m:ctrlPr>
              </m:accPr>
              <m:e>
                <m:r>
                  <w:rPr>
                    <w:rFonts w:ascii="Cambria Math" w:hAnsi="Cambria Math"/>
                  </w:rPr>
                  <m:t>e</m:t>
                </m:r>
              </m:e>
            </m:acc>
          </m:e>
          <m:sub>
            <m:r>
              <w:rPr>
                <w:rFonts w:ascii="Cambria Math" w:hAnsi="Cambria Math"/>
              </w:rPr>
              <m:t>B</m:t>
            </m:r>
          </m:sub>
          <m:sup>
            <m:r>
              <w:rPr>
                <w:rFonts w:ascii="Cambria Math" w:hAnsi="Cambria Math"/>
              </w:rPr>
              <m:t>1</m:t>
            </m:r>
          </m:sup>
        </m:sSubSup>
        <m:r>
          <w:rPr>
            <w:rFonts w:ascii="Cambria Math" w:hAnsi="Cambria Math"/>
          </w:rPr>
          <m:t>=0.2</m:t>
        </m:r>
      </m:oMath>
      <w:r>
        <w:rPr>
          <w:i/>
        </w:rPr>
        <w:t>,</w:t>
      </w:r>
      <m:oMath>
        <m:sSubSup>
          <m:sSubSupPr>
            <m:ctrlPr>
              <w:rPr>
                <w:rFonts w:ascii="Cambria Math" w:eastAsiaTheme="minorEastAsia" w:hAnsi="Cambria Math" w:cstheme="minorBidi"/>
                <w:i/>
                <w:iCs/>
                <w:color w:val="000000" w:themeColor="text1"/>
                <w:kern w:val="24"/>
                <w:szCs w:val="22"/>
              </w:rPr>
            </m:ctrlPr>
          </m:sSubSupPr>
          <m:e>
            <m:acc>
              <m:accPr>
                <m:chr m:val="̃"/>
                <m:ctrlPr>
                  <w:rPr>
                    <w:rFonts w:ascii="Cambria Math" w:eastAsiaTheme="minorEastAsia" w:hAnsi="Cambria Math" w:cstheme="minorBidi"/>
                    <w:i/>
                    <w:iCs/>
                    <w:color w:val="000000" w:themeColor="text1"/>
                    <w:kern w:val="24"/>
                    <w:szCs w:val="22"/>
                  </w:rPr>
                </m:ctrlPr>
              </m:accPr>
              <m:e>
                <m:r>
                  <w:rPr>
                    <w:rFonts w:ascii="Cambria Math" w:eastAsiaTheme="minorEastAsia" w:hAnsi="Cambria Math" w:cstheme="minorBidi"/>
                    <w:color w:val="000000" w:themeColor="text1"/>
                    <w:kern w:val="24"/>
                    <w:szCs w:val="22"/>
                  </w:rPr>
                  <m:t>e</m:t>
                </m:r>
              </m:e>
            </m:acc>
          </m:e>
          <m:sub>
            <m:r>
              <w:rPr>
                <w:rFonts w:ascii="Cambria Math" w:eastAsiaTheme="minorEastAsia" w:hAnsi="Cambria Math" w:cstheme="minorBidi"/>
                <w:color w:val="000000" w:themeColor="text1"/>
                <w:kern w:val="24"/>
                <w:szCs w:val="22"/>
              </w:rPr>
              <m:t>B</m:t>
            </m:r>
          </m:sub>
          <m:sup>
            <m:r>
              <w:rPr>
                <w:rFonts w:ascii="Cambria Math" w:eastAsiaTheme="minorEastAsia" w:hAnsi="Cambria Math" w:cstheme="minorBidi"/>
                <w:color w:val="000000" w:themeColor="text1"/>
                <w:kern w:val="24"/>
                <w:szCs w:val="22"/>
              </w:rPr>
              <m:t>2</m:t>
            </m:r>
          </m:sup>
        </m:sSubSup>
        <m:r>
          <w:rPr>
            <w:rFonts w:ascii="Cambria Math" w:eastAsiaTheme="minorEastAsia" w:hAnsi="Cambria Math" w:cstheme="minorBidi"/>
            <w:color w:val="000000" w:themeColor="text1"/>
            <w:kern w:val="24"/>
            <w:szCs w:val="22"/>
          </w:rPr>
          <m:t>=0.2</m:t>
        </m:r>
      </m:oMath>
      <w:r>
        <w:rPr>
          <w:i/>
        </w:rPr>
        <w:t>), as summarized in the following matrix:</w:t>
      </w:r>
    </w:p>
    <w:p w14:paraId="1F88DE98" w14:textId="77777777" w:rsidR="00F5687E" w:rsidRDefault="003A130B">
      <w:pPr>
        <w:spacing w:after="240" w:line="259" w:lineRule="auto"/>
        <w:jc w:val="center"/>
      </w:pPr>
      <w:r>
        <w:t>Table 1: Example of State reach in two policy areas and two regions</w:t>
      </w:r>
    </w:p>
    <w:p w14:paraId="1D3BAD01" w14:textId="2DB1B734" w:rsidR="00804DD1" w:rsidRDefault="00804DD1">
      <w:pPr>
        <w:spacing w:after="240" w:line="259" w:lineRule="auto"/>
        <w:jc w:val="center"/>
      </w:pPr>
      <w:r>
        <w:rPr>
          <w:noProof/>
        </w:rPr>
        <w:drawing>
          <wp:inline distT="0" distB="0" distL="0" distR="0" wp14:anchorId="15CE11F2" wp14:editId="3A97B177">
            <wp:extent cx="3289300" cy="695252"/>
            <wp:effectExtent l="0" t="0" r="6350" b="0"/>
            <wp:docPr id="159583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9301" name="Picture 159583930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45049" cy="707036"/>
                    </a:xfrm>
                    <a:prstGeom prst="rect">
                      <a:avLst/>
                    </a:prstGeom>
                  </pic:spPr>
                </pic:pic>
              </a:graphicData>
            </a:graphic>
          </wp:inline>
        </w:drawing>
      </w:r>
    </w:p>
    <w:p w14:paraId="50249F7F" w14:textId="0979485D" w:rsidR="00F5687E" w:rsidRDefault="003A130B" w:rsidP="00115061">
      <w:pPr>
        <w:tabs>
          <w:tab w:val="center" w:pos="2750"/>
          <w:tab w:val="center" w:pos="4009"/>
          <w:tab w:val="center" w:pos="5542"/>
        </w:tabs>
        <w:spacing w:after="0" w:line="259" w:lineRule="auto"/>
        <w:ind w:left="0" w:firstLine="0"/>
        <w:jc w:val="left"/>
      </w:pPr>
      <w:r>
        <w:rPr>
          <w:rFonts w:ascii="Calibri" w:eastAsia="Calibri" w:hAnsi="Calibri" w:cs="Calibri"/>
        </w:rPr>
        <w:tab/>
      </w:r>
    </w:p>
    <w:p w14:paraId="2807BC81" w14:textId="77777777" w:rsidR="00F5687E" w:rsidRDefault="003A130B">
      <w:pPr>
        <w:spacing w:after="181" w:line="264" w:lineRule="auto"/>
        <w:ind w:left="-15" w:right="-15" w:firstLine="339"/>
      </w:pPr>
      <w:r>
        <w:rPr>
          <w:i/>
        </w:rPr>
        <w:t>If w</w:t>
      </w:r>
      <w:r>
        <w:rPr>
          <w:vertAlign w:val="superscript"/>
        </w:rPr>
        <w:t xml:space="preserve">1 </w:t>
      </w:r>
      <w:r>
        <w:t xml:space="preserve">= </w:t>
      </w:r>
      <w:r>
        <w:rPr>
          <w:i/>
        </w:rPr>
        <w:t>w</w:t>
      </w:r>
      <w:r>
        <w:rPr>
          <w:vertAlign w:val="superscript"/>
        </w:rPr>
        <w:t xml:space="preserve">2 </w:t>
      </w:r>
      <w:r>
        <w:t>= 0</w:t>
      </w:r>
      <w:r>
        <w:rPr>
          <w:i/>
        </w:rPr>
        <w:t>.</w:t>
      </w:r>
      <w:r>
        <w:t>5</w:t>
      </w:r>
      <w:r>
        <w:rPr>
          <w:i/>
        </w:rPr>
        <w:t xml:space="preserve">, and θ </w:t>
      </w:r>
      <w:r>
        <w:t xml:space="preserve">= 1 </w:t>
      </w:r>
      <w:r>
        <w:rPr>
          <w:i/>
        </w:rPr>
        <w:t xml:space="preserve">two regions would have the same density, since the different policy dimension would be considered </w:t>
      </w:r>
      <w:r>
        <w:t>perfect substitute</w:t>
      </w:r>
      <w:r>
        <w:rPr>
          <w:i/>
        </w:rPr>
        <w:t xml:space="preserve">, and hence region A would be allowed to compensate inefficiency in dimension </w:t>
      </w:r>
      <w:r>
        <w:t xml:space="preserve">2 </w:t>
      </w:r>
      <w:r>
        <w:rPr>
          <w:i/>
        </w:rPr>
        <w:t xml:space="preserve">with higher efficiency in dimension </w:t>
      </w:r>
      <w:r>
        <w:t>1</w:t>
      </w:r>
      <w:r>
        <w:rPr>
          <w:i/>
        </w:rPr>
        <w:t>. If w</w:t>
      </w:r>
      <w:r>
        <w:rPr>
          <w:vertAlign w:val="superscript"/>
        </w:rPr>
        <w:t xml:space="preserve">1 </w:t>
      </w:r>
      <w:r>
        <w:t xml:space="preserve">= </w:t>
      </w:r>
      <w:r>
        <w:rPr>
          <w:i/>
        </w:rPr>
        <w:t>w</w:t>
      </w:r>
      <w:r>
        <w:rPr>
          <w:vertAlign w:val="superscript"/>
        </w:rPr>
        <w:t xml:space="preserve">2 </w:t>
      </w:r>
      <w:r>
        <w:t>= 0</w:t>
      </w:r>
      <w:r>
        <w:rPr>
          <w:i/>
        </w:rPr>
        <w:t>.</w:t>
      </w:r>
      <w:r>
        <w:t>5</w:t>
      </w:r>
      <w:r>
        <w:rPr>
          <w:i/>
        </w:rPr>
        <w:t xml:space="preserve">, and θ </w:t>
      </w:r>
      <w:r>
        <w:t>= 2</w:t>
      </w:r>
      <w:r>
        <w:rPr>
          <w:i/>
        </w:rPr>
        <w:t xml:space="preserve">, instead, region A will be considered denser than region B, because the index is giving more weight to the level of efficiency reached by A in dimension </w:t>
      </w:r>
      <w:r>
        <w:t>1</w:t>
      </w:r>
      <w:r>
        <w:rPr>
          <w:i/>
        </w:rPr>
        <w:t xml:space="preserve">, which is higher than any level of efficiency reached by region B. Further, if θ </w:t>
      </w:r>
      <w:r>
        <w:t>= 0</w:t>
      </w:r>
      <w:r>
        <w:rPr>
          <w:i/>
        </w:rPr>
        <w:t>.</w:t>
      </w:r>
      <w:r>
        <w:t>5</w:t>
      </w:r>
      <w:r>
        <w:rPr>
          <w:i/>
        </w:rPr>
        <w:t xml:space="preserve">, region A will be considered less dense than region B because the index gives more weight to the lowest level of efficiency reached by A in dimension </w:t>
      </w:r>
      <w:r>
        <w:t>2</w:t>
      </w:r>
      <w:r>
        <w:rPr>
          <w:i/>
        </w:rPr>
        <w:t>, which is smaller than any level of efficiency reached by region B. The following tables summarize the results for different selections of parameters.</w:t>
      </w:r>
    </w:p>
    <w:p w14:paraId="4BD773E2" w14:textId="6184872D" w:rsidR="00F5687E" w:rsidRDefault="003A130B">
      <w:pPr>
        <w:spacing w:after="0" w:line="259" w:lineRule="auto"/>
        <w:jc w:val="center"/>
      </w:pPr>
      <w:r>
        <w:t xml:space="preserve">Table 2: Example of </w:t>
      </w:r>
      <w:r w:rsidR="00976C56">
        <w:t>State</w:t>
      </w:r>
      <w:r>
        <w:t xml:space="preserve"> density in two regions for different choices of parameters</w:t>
      </w:r>
    </w:p>
    <w:p w14:paraId="04C36456" w14:textId="1289D0F1" w:rsidR="00586964" w:rsidRDefault="00586964">
      <w:pPr>
        <w:spacing w:after="0" w:line="259" w:lineRule="auto"/>
        <w:jc w:val="center"/>
      </w:pPr>
      <w:r>
        <w:rPr>
          <w:noProof/>
        </w:rPr>
        <w:lastRenderedPageBreak/>
        <w:drawing>
          <wp:inline distT="0" distB="0" distL="0" distR="0" wp14:anchorId="4C216080" wp14:editId="48F41C95">
            <wp:extent cx="4235450" cy="1230396"/>
            <wp:effectExtent l="0" t="0" r="0" b="8255"/>
            <wp:docPr id="1342058534" name="Picture 3"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8534" name="Picture 3" descr="A math equations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55746" cy="1236292"/>
                    </a:xfrm>
                    <a:prstGeom prst="rect">
                      <a:avLst/>
                    </a:prstGeom>
                  </pic:spPr>
                </pic:pic>
              </a:graphicData>
            </a:graphic>
          </wp:inline>
        </w:drawing>
      </w:r>
    </w:p>
    <w:p w14:paraId="238588D5" w14:textId="780078EB" w:rsidR="00F5687E" w:rsidRDefault="00F5687E">
      <w:pPr>
        <w:spacing w:after="22" w:line="259" w:lineRule="auto"/>
        <w:ind w:left="1325" w:firstLine="0"/>
        <w:jc w:val="left"/>
      </w:pPr>
    </w:p>
    <w:p w14:paraId="54DF2427" w14:textId="39ABB238" w:rsidR="00F5687E" w:rsidRDefault="00F5687E">
      <w:pPr>
        <w:spacing w:after="686" w:line="259" w:lineRule="auto"/>
        <w:ind w:left="1325" w:firstLine="0"/>
        <w:jc w:val="left"/>
      </w:pPr>
    </w:p>
    <w:p w14:paraId="0F7ABEAB" w14:textId="77777777" w:rsidR="00F5687E" w:rsidRDefault="003A130B">
      <w:pPr>
        <w:pStyle w:val="Heading2"/>
        <w:spacing w:after="113"/>
        <w:ind w:left="598" w:hanging="613"/>
      </w:pPr>
      <w:r>
        <w:t>Discontinuity</w:t>
      </w:r>
    </w:p>
    <w:p w14:paraId="72F15912" w14:textId="3442A4B0" w:rsidR="00F5687E" w:rsidRDefault="003A130B">
      <w:pPr>
        <w:spacing w:after="185"/>
        <w:ind w:left="-5"/>
      </w:pPr>
      <w:r>
        <w:t xml:space="preserve">We can then summarize the information on the State’s density at the sub-national level in an overall index of discontinuity of the State. If the State’s density is the same in all regions, it means that the State has the same level of reach in all the territory, and no region is neglected at the expense of others. On the other hand, if we find that the </w:t>
      </w:r>
      <w:r w:rsidR="00976C56">
        <w:t>State</w:t>
      </w:r>
      <w:r>
        <w:t xml:space="preserve"> is denser in some regions than in others, this may be ultimately symptomatic of the political will to exclude specific groups of the population.</w:t>
      </w:r>
    </w:p>
    <w:p w14:paraId="2FF2F529" w14:textId="77777777" w:rsidR="00F5687E" w:rsidRDefault="003A130B">
      <w:pPr>
        <w:spacing w:after="134" w:line="264" w:lineRule="auto"/>
        <w:ind w:left="-5" w:right="-15"/>
      </w:pPr>
      <w:r>
        <w:rPr>
          <w:b/>
        </w:rPr>
        <w:t xml:space="preserve">Definition 3.4 </w:t>
      </w:r>
      <w:r>
        <w:t>(Discontinuity)</w:t>
      </w:r>
      <w:r>
        <w:rPr>
          <w:b/>
        </w:rPr>
        <w:t xml:space="preserve">. </w:t>
      </w:r>
      <w:r>
        <w:rPr>
          <w:i/>
        </w:rPr>
        <w:t xml:space="preserve">The </w:t>
      </w:r>
      <w:r>
        <w:t xml:space="preserve">discontinuity </w:t>
      </w:r>
      <w:r>
        <w:rPr>
          <w:i/>
        </w:rPr>
        <w:t>of the State is defined as the unequal distribution of the State’s density on the territory, and measured as the average relative density differences among regions, normalized by the average density in the country (µ</w:t>
      </w:r>
      <w:r>
        <w:rPr>
          <w:i/>
          <w:vertAlign w:val="superscript"/>
        </w:rPr>
        <w:t>d</w:t>
      </w:r>
      <w:r>
        <w:rPr>
          <w:i/>
        </w:rPr>
        <w:t>):</w:t>
      </w:r>
    </w:p>
    <w:p w14:paraId="1EE4414B" w14:textId="7F938F27" w:rsidR="00BF2639" w:rsidRDefault="003A130B">
      <w:pPr>
        <w:tabs>
          <w:tab w:val="center" w:pos="4294"/>
          <w:tab w:val="right" w:pos="8568"/>
        </w:tabs>
        <w:spacing w:after="235" w:line="259" w:lineRule="auto"/>
        <w:ind w:left="0" w:right="-15" w:firstLine="0"/>
        <w:jc w:val="left"/>
      </w:pPr>
      <w:r>
        <w:rPr>
          <w:rFonts w:ascii="Calibri" w:eastAsia="Calibri" w:hAnsi="Calibri" w:cs="Calibri"/>
        </w:rPr>
        <w:tab/>
      </w:r>
    </w:p>
    <w:p w14:paraId="45FC34E1" w14:textId="0E9D74D8" w:rsidR="00BF2639" w:rsidRPr="00115061" w:rsidRDefault="005D2A05">
      <w:pPr>
        <w:tabs>
          <w:tab w:val="center" w:pos="4294"/>
          <w:tab w:val="right" w:pos="8568"/>
        </w:tabs>
        <w:spacing w:after="235" w:line="259" w:lineRule="auto"/>
        <w:ind w:left="0" w:right="-15" w:firstLine="0"/>
        <w:jc w:val="left"/>
        <w:rPr>
          <w:iCs/>
          <w:color w:val="000000" w:themeColor="text1"/>
          <w:kern w:val="24"/>
          <w:szCs w:val="22"/>
          <w:lang w:val="pt-BR"/>
        </w:rPr>
      </w:pPr>
      <m:oMathPara>
        <m:oMath>
          <m:eqArr>
            <m:eqArrPr>
              <m:maxDist m:val="1"/>
              <m:ctrlPr>
                <w:rPr>
                  <w:rFonts w:ascii="Cambria Math" w:eastAsiaTheme="minorEastAsia" w:hAnsi="Cambria Math" w:cstheme="minorBidi"/>
                  <w:i/>
                  <w:iCs/>
                  <w:color w:val="000000" w:themeColor="text1"/>
                  <w:kern w:val="24"/>
                  <w:szCs w:val="22"/>
                  <w:lang w:val="pt-BR"/>
                </w:rPr>
              </m:ctrlPr>
            </m:eqArrPr>
            <m:e>
              <m:sSup>
                <m:sSupPr>
                  <m:ctrlPr>
                    <w:rPr>
                      <w:rFonts w:ascii="Cambria Math" w:eastAsiaTheme="minorEastAsia" w:hAnsi="Cambria Math" w:cstheme="minorBidi"/>
                      <w:i/>
                      <w:iCs/>
                      <w:color w:val="000000" w:themeColor="text1"/>
                      <w:kern w:val="24"/>
                      <w:szCs w:val="22"/>
                      <w:lang w:val="pt-BR"/>
                    </w:rPr>
                  </m:ctrlPr>
                </m:sSupPr>
                <m:e>
                  <m:r>
                    <w:rPr>
                      <w:rFonts w:ascii="Cambria Math" w:eastAsiaTheme="minorEastAsia" w:hAnsi="Cambria Math" w:cstheme="minorBidi"/>
                      <w:color w:val="000000" w:themeColor="text1"/>
                      <w:kern w:val="24"/>
                      <w:szCs w:val="22"/>
                    </w:rPr>
                    <m:t>D</m:t>
                  </m:r>
                </m:e>
                <m:sup>
                  <m:r>
                    <w:rPr>
                      <w:rFonts w:ascii="Cambria Math" w:eastAsia="Cambria Math" w:hAnsi="Cambria Math" w:cstheme="minorBidi"/>
                      <w:color w:val="000000" w:themeColor="text1"/>
                      <w:kern w:val="24"/>
                      <w:szCs w:val="22"/>
                      <w:lang w:val="pt-BR"/>
                    </w:rPr>
                    <m:t>θ</m:t>
                  </m:r>
                </m:sup>
              </m:sSup>
              <m:r>
                <w:rPr>
                  <w:rFonts w:ascii="Cambria Math" w:eastAsiaTheme="minorEastAsia" w:hAnsi="Cambria Math" w:cstheme="minorBidi"/>
                  <w:color w:val="000000" w:themeColor="text1"/>
                  <w:kern w:val="24"/>
                  <w:szCs w:val="22"/>
                  <w:lang w:val="pt-BR"/>
                </w:rPr>
                <m:t>=</m:t>
              </m:r>
              <m:f>
                <m:fPr>
                  <m:ctrlPr>
                    <w:rPr>
                      <w:rFonts w:ascii="Cambria Math" w:eastAsiaTheme="minorEastAsia" w:hAnsi="Cambria Math" w:cstheme="minorBidi"/>
                      <w:i/>
                      <w:iCs/>
                      <w:color w:val="000000" w:themeColor="text1"/>
                      <w:kern w:val="24"/>
                      <w:szCs w:val="22"/>
                      <w:lang w:val="pt-BR"/>
                    </w:rPr>
                  </m:ctrlPr>
                </m:fPr>
                <m:num>
                  <m:r>
                    <w:rPr>
                      <w:rFonts w:ascii="Cambria Math" w:eastAsiaTheme="minorEastAsia" w:hAnsi="Cambria Math" w:cstheme="minorBidi"/>
                      <w:color w:val="000000" w:themeColor="text1"/>
                      <w:kern w:val="24"/>
                      <w:szCs w:val="22"/>
                    </w:rPr>
                    <m:t>1</m:t>
                  </m:r>
                </m:num>
                <m:den>
                  <m:r>
                    <w:rPr>
                      <w:rFonts w:ascii="Cambria Math" w:eastAsiaTheme="minorEastAsia" w:hAnsi="Cambria Math" w:cstheme="minorBidi"/>
                      <w:color w:val="000000" w:themeColor="text1"/>
                      <w:kern w:val="24"/>
                      <w:szCs w:val="22"/>
                    </w:rPr>
                    <m:t>m </m:t>
                  </m:r>
                  <m:d>
                    <m:dPr>
                      <m:ctrlPr>
                        <w:rPr>
                          <w:rFonts w:ascii="Cambria Math" w:eastAsiaTheme="minorEastAsia" w:hAnsi="Cambria Math" w:cstheme="minorBidi"/>
                          <w:i/>
                          <w:iCs/>
                          <w:color w:val="000000" w:themeColor="text1"/>
                          <w:kern w:val="24"/>
                          <w:szCs w:val="22"/>
                        </w:rPr>
                      </m:ctrlPr>
                    </m:dPr>
                    <m:e>
                      <m:r>
                        <w:rPr>
                          <w:rFonts w:ascii="Cambria Math" w:eastAsiaTheme="minorEastAsia" w:hAnsi="Cambria Math" w:cstheme="minorBidi"/>
                          <w:color w:val="000000" w:themeColor="text1"/>
                          <w:kern w:val="24"/>
                          <w:szCs w:val="22"/>
                        </w:rPr>
                        <m:t>m-1</m:t>
                      </m:r>
                    </m:e>
                  </m:d>
                  <m:sSup>
                    <m:sSupPr>
                      <m:ctrlPr>
                        <w:rPr>
                          <w:rFonts w:ascii="Cambria Math" w:eastAsiaTheme="minorEastAsia" w:hAnsi="Cambria Math" w:cstheme="minorBidi"/>
                          <w:i/>
                          <w:iCs/>
                          <w:color w:val="000000" w:themeColor="text1"/>
                          <w:kern w:val="24"/>
                          <w:szCs w:val="22"/>
                        </w:rPr>
                      </m:ctrlPr>
                    </m:sSupPr>
                    <m:e>
                      <m:r>
                        <w:rPr>
                          <w:rFonts w:ascii="Cambria Math" w:eastAsia="Cambria Math" w:hAnsi="Cambria Math" w:cstheme="minorBidi"/>
                          <w:color w:val="000000" w:themeColor="text1"/>
                          <w:kern w:val="24"/>
                          <w:szCs w:val="22"/>
                        </w:rPr>
                        <m:t>μ</m:t>
                      </m:r>
                    </m:e>
                    <m:sup>
                      <m:r>
                        <w:rPr>
                          <w:rFonts w:ascii="Cambria Math" w:eastAsiaTheme="minorEastAsia" w:hAnsi="Cambria Math" w:cstheme="minorBidi"/>
                          <w:color w:val="000000" w:themeColor="text1"/>
                          <w:kern w:val="24"/>
                          <w:szCs w:val="22"/>
                        </w:rPr>
                        <m:t>d</m:t>
                      </m:r>
                    </m:sup>
                  </m:sSup>
                </m:den>
              </m:f>
              <m:nary>
                <m:naryPr>
                  <m:chr m:val="∑"/>
                  <m:ctrlPr>
                    <w:rPr>
                      <w:rFonts w:ascii="Cambria Math" w:eastAsiaTheme="minorEastAsia" w:hAnsi="Cambria Math" w:cstheme="minorBidi"/>
                      <w:i/>
                      <w:iCs/>
                      <w:color w:val="000000" w:themeColor="text1"/>
                      <w:kern w:val="24"/>
                      <w:szCs w:val="22"/>
                      <w:lang w:val="pt-BR"/>
                    </w:rPr>
                  </m:ctrlPr>
                </m:naryPr>
                <m:sub>
                  <m:r>
                    <w:rPr>
                      <w:rFonts w:ascii="Cambria Math" w:eastAsiaTheme="minorEastAsia" w:hAnsi="Cambria Math" w:cstheme="minorBidi"/>
                      <w:color w:val="000000" w:themeColor="text1"/>
                      <w:kern w:val="24"/>
                      <w:szCs w:val="22"/>
                    </w:rPr>
                    <m:t>j</m:t>
                  </m:r>
                  <m:r>
                    <w:rPr>
                      <w:rFonts w:ascii="Cambria Math" w:eastAsiaTheme="minorEastAsia" w:hAnsi="Cambria Math" w:cstheme="minorBidi"/>
                      <w:color w:val="000000" w:themeColor="text1"/>
                      <w:kern w:val="24"/>
                      <w:szCs w:val="22"/>
                      <w:lang w:val="pt-BR"/>
                    </w:rPr>
                    <m:t>=</m:t>
                  </m:r>
                  <m:r>
                    <w:rPr>
                      <w:rFonts w:ascii="Cambria Math" w:eastAsiaTheme="minorEastAsia" w:hAnsi="Cambria Math" w:cstheme="minorBidi"/>
                      <w:color w:val="000000" w:themeColor="text1"/>
                      <w:kern w:val="24"/>
                      <w:szCs w:val="22"/>
                    </w:rPr>
                    <m:t>1</m:t>
                  </m:r>
                </m:sub>
                <m:sup>
                  <m:r>
                    <w:rPr>
                      <w:rFonts w:ascii="Cambria Math" w:eastAsiaTheme="minorEastAsia" w:hAnsi="Cambria Math" w:cstheme="minorBidi"/>
                      <w:color w:val="000000" w:themeColor="text1"/>
                      <w:kern w:val="24"/>
                      <w:szCs w:val="22"/>
                    </w:rPr>
                    <m:t>m</m:t>
                  </m:r>
                </m:sup>
                <m:e>
                  <m:nary>
                    <m:naryPr>
                      <m:chr m:val="∑"/>
                      <m:ctrlPr>
                        <w:rPr>
                          <w:rFonts w:ascii="Cambria Math" w:eastAsiaTheme="minorEastAsia" w:hAnsi="Cambria Math" w:cstheme="minorBidi"/>
                          <w:i/>
                          <w:iCs/>
                          <w:color w:val="000000" w:themeColor="text1"/>
                          <w:kern w:val="24"/>
                          <w:szCs w:val="22"/>
                          <w:lang w:val="pt-BR"/>
                        </w:rPr>
                      </m:ctrlPr>
                    </m:naryPr>
                    <m:sub>
                      <m:r>
                        <w:rPr>
                          <w:rFonts w:ascii="Cambria Math" w:eastAsiaTheme="minorEastAsia" w:hAnsi="Cambria Math" w:cstheme="minorBidi"/>
                          <w:color w:val="000000" w:themeColor="text1"/>
                          <w:kern w:val="24"/>
                          <w:szCs w:val="22"/>
                        </w:rPr>
                        <m:t>k=1</m:t>
                      </m:r>
                    </m:sub>
                    <m:sup>
                      <m:r>
                        <w:rPr>
                          <w:rFonts w:ascii="Cambria Math" w:eastAsiaTheme="minorEastAsia" w:hAnsi="Cambria Math" w:cstheme="minorBidi"/>
                          <w:color w:val="000000" w:themeColor="text1"/>
                          <w:kern w:val="24"/>
                          <w:szCs w:val="22"/>
                        </w:rPr>
                        <m:t>m</m:t>
                      </m:r>
                    </m:sup>
                    <m:e>
                      <m:f>
                        <m:fPr>
                          <m:ctrlPr>
                            <w:rPr>
                              <w:rFonts w:ascii="Cambria Math" w:eastAsiaTheme="minorEastAsia" w:hAnsi="Cambria Math" w:cstheme="minorBidi"/>
                              <w:i/>
                              <w:iCs/>
                              <w:color w:val="000000" w:themeColor="text1"/>
                              <w:kern w:val="24"/>
                              <w:szCs w:val="22"/>
                              <w:lang w:val="pt-BR"/>
                            </w:rPr>
                          </m:ctrlPr>
                        </m:fPr>
                        <m:num>
                          <m:d>
                            <m:dPr>
                              <m:begChr m:val="|"/>
                              <m:endChr m:val="|"/>
                              <m:ctrlPr>
                                <w:rPr>
                                  <w:rFonts w:ascii="Cambria Math" w:eastAsiaTheme="minorEastAsia" w:hAnsi="Cambria Math" w:cstheme="minorBidi"/>
                                  <w:i/>
                                  <w:iCs/>
                                  <w:color w:val="000000" w:themeColor="text1"/>
                                  <w:kern w:val="24"/>
                                  <w:szCs w:val="22"/>
                                </w:rPr>
                              </m:ctrlPr>
                            </m:dPr>
                            <m:e>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d</m:t>
                                  </m:r>
                                </m:e>
                                <m:sub>
                                  <m:r>
                                    <w:rPr>
                                      <w:rFonts w:ascii="Cambria Math" w:eastAsiaTheme="minorEastAsia" w:hAnsi="Cambria Math" w:cstheme="minorBidi"/>
                                      <w:color w:val="000000" w:themeColor="text1"/>
                                      <w:kern w:val="24"/>
                                      <w:szCs w:val="22"/>
                                    </w:rPr>
                                    <m:t>j</m:t>
                                  </m:r>
                                </m:sub>
                                <m:sup>
                                  <m:r>
                                    <w:rPr>
                                      <w:rFonts w:ascii="Cambria Math" w:eastAsiaTheme="minorEastAsia" w:hAnsi="Cambria Math" w:cstheme="minorBidi"/>
                                      <w:color w:val="000000" w:themeColor="text1"/>
                                      <w:kern w:val="24"/>
                                      <w:szCs w:val="22"/>
                                      <w:lang w:val="el-GR"/>
                                    </w:rPr>
                                    <m:t>θ</m:t>
                                  </m:r>
                                </m:sup>
                              </m:sSubSup>
                              <m:r>
                                <w:rPr>
                                  <w:rFonts w:ascii="Cambria Math" w:eastAsiaTheme="minorEastAsia" w:hAnsi="Cambria Math" w:cstheme="minorBidi"/>
                                  <w:color w:val="000000" w:themeColor="text1"/>
                                  <w:kern w:val="24"/>
                                  <w:szCs w:val="22"/>
                                </w:rPr>
                                <m:t> -</m:t>
                              </m:r>
                              <m:sSubSup>
                                <m:sSubSupPr>
                                  <m:ctrlPr>
                                    <w:rPr>
                                      <w:rFonts w:ascii="Cambria Math" w:eastAsiaTheme="minorEastAsia" w:hAnsi="Cambria Math" w:cstheme="minorBidi"/>
                                      <w:i/>
                                      <w:iCs/>
                                      <w:color w:val="000000" w:themeColor="text1"/>
                                      <w:kern w:val="24"/>
                                      <w:szCs w:val="22"/>
                                    </w:rPr>
                                  </m:ctrlPr>
                                </m:sSubSupPr>
                                <m:e>
                                  <m:r>
                                    <w:rPr>
                                      <w:rFonts w:ascii="Cambria Math" w:eastAsiaTheme="minorEastAsia" w:hAnsi="Cambria Math" w:cstheme="minorBidi"/>
                                      <w:color w:val="000000" w:themeColor="text1"/>
                                      <w:kern w:val="24"/>
                                      <w:szCs w:val="22"/>
                                    </w:rPr>
                                    <m:t>d</m:t>
                                  </m:r>
                                </m:e>
                                <m:sub>
                                  <m:r>
                                    <w:rPr>
                                      <w:rFonts w:ascii="Cambria Math" w:eastAsiaTheme="minorEastAsia" w:hAnsi="Cambria Math" w:cstheme="minorBidi"/>
                                      <w:color w:val="000000" w:themeColor="text1"/>
                                      <w:kern w:val="24"/>
                                      <w:szCs w:val="22"/>
                                    </w:rPr>
                                    <m:t>k</m:t>
                                  </m:r>
                                </m:sub>
                                <m:sup>
                                  <m:r>
                                    <w:rPr>
                                      <w:rFonts w:ascii="Cambria Math" w:eastAsiaTheme="minorEastAsia" w:hAnsi="Cambria Math" w:cstheme="minorBidi"/>
                                      <w:color w:val="000000" w:themeColor="text1"/>
                                      <w:kern w:val="24"/>
                                      <w:szCs w:val="22"/>
                                      <w:lang w:val="el-GR"/>
                                    </w:rPr>
                                    <m:t>θ</m:t>
                                  </m:r>
                                </m:sup>
                              </m:sSubSup>
                            </m:e>
                          </m:d>
                        </m:num>
                        <m:den>
                          <m:r>
                            <w:rPr>
                              <w:rFonts w:ascii="Cambria Math" w:eastAsiaTheme="minorEastAsia" w:hAnsi="Cambria Math" w:cstheme="minorBidi"/>
                              <w:color w:val="000000" w:themeColor="text1"/>
                              <w:kern w:val="24"/>
                              <w:szCs w:val="22"/>
                            </w:rPr>
                            <m:t>2</m:t>
                          </m:r>
                        </m:den>
                      </m:f>
                    </m:e>
                  </m:nary>
                </m:e>
              </m:nary>
              <m:r>
                <w:rPr>
                  <w:rFonts w:ascii="Cambria Math" w:eastAsiaTheme="minorEastAsia" w:hAnsi="Cambria Math" w:cstheme="minorBidi"/>
                  <w:color w:val="000000" w:themeColor="text1"/>
                  <w:kern w:val="24"/>
                  <w:szCs w:val="22"/>
                  <w:lang w:val="pt-BR"/>
                </w:rPr>
                <m:t xml:space="preserve">  #</m:t>
              </m:r>
              <m:d>
                <m:dPr>
                  <m:ctrlPr>
                    <w:rPr>
                      <w:rFonts w:ascii="Cambria Math" w:eastAsiaTheme="minorEastAsia" w:hAnsi="Cambria Math" w:cstheme="minorBidi"/>
                      <w:i/>
                      <w:iCs/>
                      <w:color w:val="000000" w:themeColor="text1"/>
                      <w:kern w:val="24"/>
                      <w:szCs w:val="22"/>
                      <w:lang w:val="pt-BR"/>
                    </w:rPr>
                  </m:ctrlPr>
                </m:dPr>
                <m:e>
                  <m:r>
                    <w:rPr>
                      <w:rFonts w:ascii="Cambria Math" w:eastAsiaTheme="minorEastAsia" w:hAnsi="Cambria Math" w:cstheme="minorBidi"/>
                      <w:color w:val="000000" w:themeColor="text1"/>
                      <w:kern w:val="24"/>
                      <w:szCs w:val="22"/>
                      <w:lang w:val="pt-BR"/>
                    </w:rPr>
                    <m:t>3</m:t>
                  </m:r>
                </m:e>
              </m:d>
            </m:e>
          </m:eqArr>
        </m:oMath>
      </m:oMathPara>
    </w:p>
    <w:p w14:paraId="10EB320B" w14:textId="1E7D23D4" w:rsidR="00F5687E" w:rsidRDefault="003A130B" w:rsidP="005D7422">
      <w:pPr>
        <w:spacing w:after="694" w:line="313" w:lineRule="auto"/>
        <w:ind w:left="-15" w:firstLine="339"/>
      </w:pPr>
      <w:r>
        <w:t xml:space="preserve">Therefore, if all regions have the same density, </w:t>
      </w:r>
      <w:r>
        <w:rPr>
          <w:i/>
        </w:rPr>
        <w:t>D</w:t>
      </w:r>
      <w:r>
        <w:rPr>
          <w:i/>
          <w:vertAlign w:val="superscript"/>
        </w:rPr>
        <w:t xml:space="preserve">θ </w:t>
      </w:r>
      <w:r>
        <w:t xml:space="preserve">= 0; if the State is absent in all regions except one, discontinuity is maximum and </w:t>
      </w:r>
      <w:r>
        <w:rPr>
          <w:i/>
        </w:rPr>
        <w:t>D</w:t>
      </w:r>
      <w:r>
        <w:rPr>
          <w:i/>
          <w:vertAlign w:val="superscript"/>
        </w:rPr>
        <w:t xml:space="preserve">θ </w:t>
      </w:r>
      <w:r>
        <w:t>= 1.</w:t>
      </w:r>
      <w:r w:rsidR="00951A50">
        <w:t xml:space="preserve"> The discontinuity index defined in equation (3) may be </w:t>
      </w:r>
      <w:r w:rsidR="005D7422">
        <w:t>understood</w:t>
      </w:r>
      <w:r w:rsidR="00951A50">
        <w:t xml:space="preserve"> as a Gini index computed on the density distribution across regions</w:t>
      </w:r>
      <w:r w:rsidR="00283D4A">
        <w:t xml:space="preserve">. It can be interpreted as the </w:t>
      </w:r>
      <w:r w:rsidR="005D7422">
        <w:t>degree of relative State neglect on the territory.</w:t>
      </w:r>
      <w:r w:rsidR="005D7422">
        <w:rPr>
          <w:rStyle w:val="FootnoteReference"/>
        </w:rPr>
        <w:footnoteReference w:id="1"/>
      </w:r>
    </w:p>
    <w:p w14:paraId="29EB89EB" w14:textId="77777777" w:rsidR="00F5687E" w:rsidRDefault="003A130B">
      <w:pPr>
        <w:pStyle w:val="Heading1"/>
        <w:spacing w:after="169"/>
        <w:ind w:left="469" w:hanging="484"/>
      </w:pPr>
      <w:r>
        <w:lastRenderedPageBreak/>
        <w:t>An Empirical Application</w:t>
      </w:r>
    </w:p>
    <w:p w14:paraId="4C16BF82" w14:textId="77777777" w:rsidR="00F5687E" w:rsidRDefault="003A130B">
      <w:pPr>
        <w:pStyle w:val="Heading2"/>
        <w:spacing w:after="113"/>
        <w:ind w:left="598" w:hanging="613"/>
      </w:pPr>
      <w:r>
        <w:t>Data</w:t>
      </w:r>
    </w:p>
    <w:p w14:paraId="1FBDAE7A" w14:textId="77777777" w:rsidR="00F5687E" w:rsidRDefault="003A130B">
      <w:pPr>
        <w:spacing w:after="262"/>
        <w:ind w:left="-5"/>
      </w:pPr>
      <w:r>
        <w:t>To assess the discontinuity of the State on the territory, it is essential to use data that is representative at the sub-national level, preferably at the lowest available administrative level. To provide the largest possible coverage of developing countries, we sourced data from the International Integrated Public Use Microdata Series (IPUMS international), and the Armed Conflict Location and Event Data Project (ACLED). IPUMS International offers the largest collection of publicly available harmonized census samples. It spans 103 countries, with historical data dating back to 1700 (Iceland, 1703). Available data are randomly extracted from original samples, with sample densities ranging from 1 percent to 10 percent of national populations. ACLED collects information on the dates, actors, locations, fatalities, and types of all reported political violence and protest events around the world.</w:t>
      </w:r>
    </w:p>
    <w:p w14:paraId="4ADB4667" w14:textId="21762647" w:rsidR="00F5687E" w:rsidRDefault="003A130B" w:rsidP="00B41476">
      <w:pPr>
        <w:spacing w:after="36"/>
        <w:ind w:left="-15" w:firstLine="339"/>
      </w:pPr>
      <w:r>
        <w:t xml:space="preserve">We restricted the analysis to the following dimensions: basic services; education; health; and security. These dimensions are frequently referenced in opinion surveys aimed at collecting information on respondents’ perceptions regarding the most pressing issues confronting their country. These challenges are what respondents believe the </w:t>
      </w:r>
      <w:r w:rsidR="00994948">
        <w:t xml:space="preserve">State </w:t>
      </w:r>
      <w:r>
        <w:t xml:space="preserve">should prioritize, thereby offering a reliable indication of the perceived normative functions of the </w:t>
      </w:r>
      <w:r w:rsidR="00976C56">
        <w:t>State</w:t>
      </w:r>
      <w:r>
        <w:t>. For instance, in the International Social Survey Programme, Role of Government V (</w:t>
      </w:r>
      <w:r>
        <w:rPr>
          <w:color w:val="0000FF"/>
        </w:rPr>
        <w:t>ISSP Research Group</w:t>
      </w:r>
      <w:r>
        <w:t xml:space="preserve">, </w:t>
      </w:r>
      <w:r>
        <w:rPr>
          <w:color w:val="0000FF"/>
        </w:rPr>
        <w:t>2018</w:t>
      </w:r>
      <w:r>
        <w:t>),</w:t>
      </w:r>
      <w:r w:rsidR="008C5A17">
        <w:rPr>
          <w:rStyle w:val="FootnoteReference"/>
        </w:rPr>
        <w:footnoteReference w:id="2"/>
      </w:r>
      <w:r>
        <w:t>and Global Barometer Survey (</w:t>
      </w:r>
      <w:r>
        <w:rPr>
          <w:color w:val="0000FF"/>
        </w:rPr>
        <w:t>GBS</w:t>
      </w:r>
      <w:r>
        <w:t xml:space="preserve">, </w:t>
      </w:r>
      <w:r>
        <w:rPr>
          <w:color w:val="0000FF"/>
        </w:rPr>
        <w:t>2020</w:t>
      </w:r>
      <w:r>
        <w:t>)</w:t>
      </w:r>
      <w:r w:rsidR="008C5A17">
        <w:t>,</w:t>
      </w:r>
      <w:r>
        <w:rPr>
          <w:vertAlign w:val="superscript"/>
        </w:rPr>
        <w:footnoteReference w:id="3"/>
      </w:r>
      <w:r>
        <w:rPr>
          <w:vertAlign w:val="superscript"/>
        </w:rPr>
        <w:t xml:space="preserve"> </w:t>
      </w:r>
      <w:r>
        <w:t xml:space="preserve">the four </w:t>
      </w:r>
      <w:r>
        <w:lastRenderedPageBreak/>
        <w:t>dimensions are consistently reported within the top fifteen priorities, even with some order difference across countries. In particular, among African countries, the top reported priority is poverty, followed by taxes; wages, incomes, and salaries; orphans, street</w:t>
      </w:r>
      <w:r w:rsidR="00B41476">
        <w:t xml:space="preserve"> </w:t>
      </w:r>
      <w:r w:rsidR="00B41476" w:rsidRPr="00B41476">
        <w:t xml:space="preserve">children, homeless children; aids; housing; education; drought; corruption; unemployment; political violence; food shortage; water supply; and electricity. Among Asian and South Asian countries, the management of the economy is in the first place, followed by unemployment; corruption; wages, incomes, and salaries; poverty; inflation; crime and security; taxes; housing; social problems (divorce, gambling, drugs); health; education. In Latin America the most pressing issues are crime and public security, followed by unemployment; the status of the economy; corruption; political crisis; inflation; education; violence, bands; health; poverty; shortages; drug consumption; low salaries (Authors’ elaboration on data from </w:t>
      </w:r>
      <w:r w:rsidR="00B41476" w:rsidRPr="00C545AA">
        <w:rPr>
          <w:color w:val="0000FF"/>
        </w:rPr>
        <w:t>GBS</w:t>
      </w:r>
      <w:r w:rsidR="00B41476" w:rsidRPr="00B41476">
        <w:t xml:space="preserve">, </w:t>
      </w:r>
      <w:r w:rsidR="00B41476" w:rsidRPr="00C545AA">
        <w:rPr>
          <w:color w:val="0000FF"/>
        </w:rPr>
        <w:t>2020</w:t>
      </w:r>
      <w:r w:rsidR="00B41476" w:rsidRPr="00B41476">
        <w:t xml:space="preserve">). Among ISSP respondents, 77% indicated that the government should allocate more or significantly more funding towards healthcare, while 73% expressed the same sentiment regarding education expenditure, and 52% that the government should spend more or much more on police and law enforcement (Authors’ elaboration on data from </w:t>
      </w:r>
      <w:r w:rsidR="00B41476" w:rsidRPr="00C545AA">
        <w:rPr>
          <w:color w:val="0000FF"/>
        </w:rPr>
        <w:t>ISSP</w:t>
      </w:r>
      <w:r w:rsidR="00B41476" w:rsidRPr="00B41476">
        <w:t xml:space="preserve">, </w:t>
      </w:r>
      <w:r w:rsidR="00B41476" w:rsidRPr="00C545AA">
        <w:rPr>
          <w:color w:val="0000FF"/>
        </w:rPr>
        <w:t>2018</w:t>
      </w:r>
      <w:r w:rsidR="00B41476" w:rsidRPr="00B41476">
        <w:t>).</w:t>
      </w:r>
    </w:p>
    <w:p w14:paraId="5928AD37" w14:textId="77777777" w:rsidR="008C5A17" w:rsidRDefault="008C5A17" w:rsidP="008C5A17">
      <w:pPr>
        <w:spacing w:after="36"/>
        <w:ind w:left="-15" w:firstLine="339"/>
      </w:pPr>
    </w:p>
    <w:p w14:paraId="088A01FB" w14:textId="5D857A37" w:rsidR="00F5687E" w:rsidRDefault="003A130B" w:rsidP="00A74240">
      <w:pPr>
        <w:spacing w:after="288"/>
        <w:ind w:left="-15" w:firstLine="339"/>
      </w:pPr>
      <w:r>
        <w:t>To assess the effectiveness of the State in each of the dimensions in each region, we used the following indicators: (i) the share of households with piped water and (ii) the share of households with electricity, as indicators for the provision of basic services; (iii) the share of literate people (those who can both read and write), as an indicator of education; (iv) the number of children surviving per 1,000 live births, as an indicator of health; (v) the number of days in a year without episodes of violence, as an indicator for security. The first four indicators are found in IPUMS, and the last one in ACLED.</w:t>
      </w:r>
      <w:r w:rsidR="00994948">
        <w:t xml:space="preserve"> </w:t>
      </w:r>
      <w:r w:rsidR="00A74240">
        <w:rPr>
          <w:rFonts w:cstheme="minorHAnsi"/>
        </w:rPr>
        <w:t>The upper and lower bounds for the normalization are set at the maximum and minimum level of effectiveness observed in the pooled sample of all regions</w:t>
      </w:r>
      <w:r w:rsidR="00A74240">
        <w:t xml:space="preserve">. </w:t>
      </w:r>
      <w:r w:rsidR="00994948">
        <w:t>Table A1 in the Appendix summarizes the variables used in the analysis.</w:t>
      </w:r>
      <w:r w:rsidR="00A74240">
        <w:t xml:space="preserve"> </w:t>
      </w:r>
    </w:p>
    <w:p w14:paraId="4C9864B8" w14:textId="33104D0C" w:rsidR="00F5687E" w:rsidRDefault="003A130B" w:rsidP="00C545AA">
      <w:pPr>
        <w:ind w:left="0" w:firstLine="0"/>
      </w:pPr>
      <w:r>
        <w:t>The final sample includes 32 countries, and a total of 54</w:t>
      </w:r>
      <w:r w:rsidR="00F62BF8">
        <w:t>5</w:t>
      </w:r>
      <w:r>
        <w:t xml:space="preserve"> regions, as detailed in Table 3. The majority of administrative divisions included in the analysis belong to Latin American countries (5</w:t>
      </w:r>
      <w:r w:rsidR="009B0DAF">
        <w:t>3</w:t>
      </w:r>
      <w:r>
        <w:t>%), followed by Sub-Saharan countries (2</w:t>
      </w:r>
      <w:r w:rsidR="009B0DAF">
        <w:t>9</w:t>
      </w:r>
      <w:r>
        <w:t>%), East Asia and Pacific (8%),</w:t>
      </w:r>
      <w:r w:rsidR="001C60FF">
        <w:t xml:space="preserve"> </w:t>
      </w:r>
      <w:r>
        <w:t>Middle East and North Africa (6%), South Asia (3%), and Europe and Central Asia (2%).</w:t>
      </w:r>
      <w:r w:rsidR="00994948">
        <w:t xml:space="preserve"> </w:t>
      </w:r>
    </w:p>
    <w:p w14:paraId="4B742C28" w14:textId="77777777" w:rsidR="00994948" w:rsidRDefault="00994948" w:rsidP="00994948">
      <w:pPr>
        <w:ind w:left="-15" w:firstLine="339"/>
      </w:pPr>
    </w:p>
    <w:p w14:paraId="18F71FEA" w14:textId="2F909AA0" w:rsidR="00FE19E6" w:rsidRDefault="00994948" w:rsidP="00994948">
      <w:pPr>
        <w:ind w:left="-15" w:firstLine="339"/>
      </w:pPr>
      <w:r>
        <w:t xml:space="preserve">The granularity of geographical disaggregation varies by country. In general, it corresponds to the level </w:t>
      </w:r>
      <w:r w:rsidR="00FF6DF6">
        <w:t xml:space="preserve">that would be </w:t>
      </w:r>
      <w:r>
        <w:t xml:space="preserve">defined as NUTS 2 for European countries (see </w:t>
      </w:r>
      <w:r w:rsidR="00FF6DF6" w:rsidRPr="00C545AA">
        <w:rPr>
          <w:color w:val="0000FF"/>
        </w:rPr>
        <w:t>Eurostat</w:t>
      </w:r>
      <w:r w:rsidR="00FF6DF6" w:rsidRPr="00C545AA">
        <w:rPr>
          <w:color w:val="auto"/>
        </w:rPr>
        <w:t>,</w:t>
      </w:r>
      <w:r w:rsidR="00FF6DF6">
        <w:t xml:space="preserve"> </w:t>
      </w:r>
      <w:r w:rsidR="00FF6DF6" w:rsidRPr="00C545AA">
        <w:rPr>
          <w:color w:val="0000FF"/>
        </w:rPr>
        <w:t>2024</w:t>
      </w:r>
      <w:r w:rsidR="00FF6DF6">
        <w:t xml:space="preserve">). </w:t>
      </w:r>
      <w:r w:rsidR="00B203A2">
        <w:t xml:space="preserve">For example, in Armenia, the smallest geographical unit analyzed corresponds to a province or the capital city; in Brazil, we use federal districts; in Iran, we analyze provinces; in Peru, departments are considered. In Mali and Togo, the analysis is </w:t>
      </w:r>
      <w:r w:rsidR="00B203A2">
        <w:lastRenderedPageBreak/>
        <w:t xml:space="preserve">conducted at the regional level. </w:t>
      </w:r>
      <w:r w:rsidR="00FE19E6">
        <w:t>Finally, it is worth noting that t</w:t>
      </w:r>
      <w:r w:rsidR="00B203A2">
        <w:t xml:space="preserve">he </w:t>
      </w:r>
      <w:r w:rsidR="00FE19E6">
        <w:t>administrative</w:t>
      </w:r>
      <w:r w:rsidR="00B203A2">
        <w:t xml:space="preserve"> subdivisions used in this paper reflect those in place at the time the census data were collected and may not align with current definitions. </w:t>
      </w:r>
    </w:p>
    <w:p w14:paraId="3CB90D93" w14:textId="77777777" w:rsidR="00FE19E6" w:rsidRDefault="00FE19E6" w:rsidP="00994948">
      <w:pPr>
        <w:ind w:left="-15" w:firstLine="339"/>
      </w:pPr>
    </w:p>
    <w:p w14:paraId="5939FCDA" w14:textId="63E88069" w:rsidR="00FE19E6" w:rsidRDefault="00BE6719" w:rsidP="00994948">
      <w:pPr>
        <w:ind w:left="-15" w:firstLine="339"/>
      </w:pPr>
      <w:r>
        <w:t>Any modification in the definition of administrative subdivisions used in the analysis will inevitably affect the overall discontinuity index. Dividing a region into smaller subdivisions is unlikely to reduce discontinuity; instead, it will typically increase variability. On the other hand, merging existing subdivisions into larger aggregations is unlikely to increase overall discontinuity, as it replaces individual densities with an average. However, since changes in subdivisions affect both the numerator and denominator of the index, the direction of the change cannot be predicted in advance.</w:t>
      </w:r>
    </w:p>
    <w:p w14:paraId="2E2E61C6" w14:textId="77777777" w:rsidR="00BE6719" w:rsidRDefault="00BE6719" w:rsidP="00C545AA">
      <w:pPr>
        <w:ind w:left="-15" w:firstLine="339"/>
      </w:pPr>
    </w:p>
    <w:p w14:paraId="0D5CBE23" w14:textId="77777777" w:rsidR="00F5687E" w:rsidRDefault="003A130B">
      <w:pPr>
        <w:pStyle w:val="Heading2"/>
        <w:spacing w:after="139"/>
        <w:ind w:left="598" w:hanging="613"/>
      </w:pPr>
      <w:r>
        <w:t>Results</w:t>
      </w:r>
    </w:p>
    <w:p w14:paraId="39F70FA5" w14:textId="77777777" w:rsidR="00F5687E" w:rsidRDefault="003A130B">
      <w:pPr>
        <w:pStyle w:val="Heading3"/>
        <w:spacing w:after="144"/>
        <w:ind w:left="752" w:hanging="767"/>
      </w:pPr>
      <w:r>
        <w:t>Effectiveness</w:t>
      </w:r>
    </w:p>
    <w:p w14:paraId="73840F63" w14:textId="5988A61E" w:rsidR="008E2842" w:rsidRDefault="00E22A76" w:rsidP="004F6F0D">
      <w:pPr>
        <w:spacing w:after="268"/>
        <w:ind w:left="-5"/>
        <w:rPr>
          <w:rFonts w:cstheme="minorHAnsi"/>
        </w:rPr>
      </w:pPr>
      <w:r>
        <w:t>The distribution of normalized effectiveness across the 54</w:t>
      </w:r>
      <w:r w:rsidR="00186BAA">
        <w:t>5</w:t>
      </w:r>
      <w:r>
        <w:t xml:space="preserve"> regions is summarized in Figure 1. </w:t>
      </w:r>
      <w:r w:rsidR="004F6F0D">
        <w:t xml:space="preserve">Each region corresponds to one </w:t>
      </w:r>
      <w:r w:rsidR="008D7BD0">
        <w:t>link (t</w:t>
      </w:r>
      <w:r w:rsidR="008D7BD0" w:rsidRPr="008D7BD0">
        <w:t>he width of the links is proportional to the number of regions flowing through nodes</w:t>
      </w:r>
      <w:r w:rsidR="008D7BD0">
        <w:t>)</w:t>
      </w:r>
      <w:r w:rsidR="004F6F0D">
        <w:t>, and it is colored according to the decile in the overall distribution it belongs to, with higher deciles (in shades of blue) corresponding to higher effectiveness, and lower deciles (in shades of red) corresponding to lower effectiveness.</w:t>
      </w:r>
      <w:r w:rsidR="00F774E9">
        <w:t xml:space="preserve"> </w:t>
      </w:r>
      <w:r>
        <w:rPr>
          <w:rFonts w:cstheme="minorHAnsi"/>
        </w:rPr>
        <w:t xml:space="preserve">Figure 1 </w:t>
      </w:r>
      <w:r w:rsidR="004F6F0D">
        <w:rPr>
          <w:rFonts w:cstheme="minorHAnsi"/>
        </w:rPr>
        <w:t>displays</w:t>
      </w:r>
      <w:r>
        <w:rPr>
          <w:rFonts w:cstheme="minorHAnsi"/>
        </w:rPr>
        <w:t xml:space="preserve"> two main </w:t>
      </w:r>
      <w:r w:rsidR="00245E95">
        <w:rPr>
          <w:rFonts w:cstheme="minorHAnsi"/>
        </w:rPr>
        <w:t>results</w:t>
      </w:r>
      <w:r>
        <w:rPr>
          <w:rFonts w:cstheme="minorHAnsi"/>
        </w:rPr>
        <w:t xml:space="preserve">. </w:t>
      </w:r>
      <w:r w:rsidR="008E2842">
        <w:rPr>
          <w:rFonts w:cstheme="minorHAnsi"/>
        </w:rPr>
        <w:t>First, the</w:t>
      </w:r>
      <w:r>
        <w:rPr>
          <w:rFonts w:cstheme="minorHAnsi"/>
        </w:rPr>
        <w:t xml:space="preserve"> ranking of subdivisions belonging to each World region with respect to each single dimension</w:t>
      </w:r>
      <w:r w:rsidR="008E2842">
        <w:rPr>
          <w:rFonts w:cstheme="minorHAnsi"/>
        </w:rPr>
        <w:t xml:space="preserve">. Second, the ranking profile of regions </w:t>
      </w:r>
      <w:r w:rsidR="00245E95">
        <w:rPr>
          <w:rFonts w:cstheme="minorHAnsi"/>
        </w:rPr>
        <w:t xml:space="preserve">across </w:t>
      </w:r>
      <w:r w:rsidR="008E2842">
        <w:rPr>
          <w:rFonts w:cstheme="minorHAnsi"/>
        </w:rPr>
        <w:t xml:space="preserve">ranks </w:t>
      </w:r>
      <w:r w:rsidR="00245E95">
        <w:rPr>
          <w:rFonts w:cstheme="minorHAnsi"/>
        </w:rPr>
        <w:t>dimensions</w:t>
      </w:r>
      <w:r w:rsidR="008E2842">
        <w:rPr>
          <w:rFonts w:cstheme="minorHAnsi"/>
        </w:rPr>
        <w:t>, which can be stable (a region’s effectiveness belongs to the same decile in all dimensions considered), or erratic (the ranking of a region in terms of effectiveness varies according to the dimension considered)</w:t>
      </w:r>
      <w:r w:rsidR="00245E95">
        <w:rPr>
          <w:rFonts w:cstheme="minorHAnsi"/>
        </w:rPr>
        <w:t>.</w:t>
      </w:r>
      <w:r w:rsidR="008E2842">
        <w:rPr>
          <w:rFonts w:cstheme="minorHAnsi"/>
        </w:rPr>
        <w:t xml:space="preserve"> </w:t>
      </w:r>
    </w:p>
    <w:p w14:paraId="561FF8FE" w14:textId="6A59BD5D" w:rsidR="00F5687E" w:rsidRDefault="003A130B" w:rsidP="004F6F0D">
      <w:pPr>
        <w:spacing w:after="268"/>
        <w:ind w:left="-5"/>
      </w:pPr>
      <w:r>
        <w:t>When looking at the distribution of normalized effectiveness across the 54</w:t>
      </w:r>
      <w:r w:rsidR="00186BAA">
        <w:t>5</w:t>
      </w:r>
      <w:r>
        <w:t xml:space="preserve"> regions, some patterns emerge (see Figure 1).</w:t>
      </w:r>
    </w:p>
    <w:p w14:paraId="6F1F9884" w14:textId="2475FB60" w:rsidR="00ED545B" w:rsidRDefault="003A130B" w:rsidP="008D7BD0">
      <w:pPr>
        <w:ind w:left="-15" w:firstLine="339"/>
      </w:pPr>
      <w:r>
        <w:t>Sub-Saharan African (SSA) countries are disproportionately represented at the lower end of the effectiveness spectrum. For four of the five observed indicators, a region in an SSA country occupies the lowest position: Rwanda in health</w:t>
      </w:r>
      <w:r w:rsidR="002D5DB4">
        <w:t xml:space="preserve"> (in fact, the five Rwanda regions are the worst five out of the entire sample with respect to child mortality)</w:t>
      </w:r>
      <w:r>
        <w:t>, Mali in education</w:t>
      </w:r>
      <w:r w:rsidR="002D5DB4">
        <w:t xml:space="preserve">, Sudan in </w:t>
      </w:r>
      <w:r>
        <w:t xml:space="preserve">security, and Liberia in </w:t>
      </w:r>
      <w:r w:rsidR="0073613B">
        <w:t xml:space="preserve">basic services, </w:t>
      </w:r>
      <w:r>
        <w:t xml:space="preserve">electricity. </w:t>
      </w:r>
      <w:r w:rsidR="002D5DB4">
        <w:t xml:space="preserve">With respect to basic services, water, South Kordofan in Sudan ranks as the second worst, just ahead of five regions in Cambodia. </w:t>
      </w:r>
      <w:r>
        <w:t xml:space="preserve">Although regions in Sub-Saharan Africa make up only 29% of total observations, they constitute 91% of those in the lowest effectiveness decile for education, </w:t>
      </w:r>
      <w:r w:rsidR="00B358BB">
        <w:t>89</w:t>
      </w:r>
      <w:r>
        <w:t xml:space="preserve">% for basic service delivery, electricity, </w:t>
      </w:r>
      <w:r w:rsidR="00B358BB">
        <w:t>80</w:t>
      </w:r>
      <w:r>
        <w:t>% for health, 3</w:t>
      </w:r>
      <w:r w:rsidR="00B358BB">
        <w:t>5</w:t>
      </w:r>
      <w:r>
        <w:t>% for basic service delivery, water.</w:t>
      </w:r>
    </w:p>
    <w:p w14:paraId="4E976C06" w14:textId="77777777" w:rsidR="008C5A17" w:rsidRDefault="008C5A17">
      <w:pPr>
        <w:ind w:left="-15" w:firstLine="339"/>
      </w:pPr>
    </w:p>
    <w:p w14:paraId="2217F833" w14:textId="77777777" w:rsidR="00F5687E" w:rsidRDefault="003A130B">
      <w:pPr>
        <w:ind w:left="-5"/>
      </w:pPr>
      <w:bookmarkStart w:id="9" w:name="_Hlk177334628"/>
      <w:r>
        <w:t>Table 3: Country included in the analysis and corresponding number of administrative</w:t>
      </w:r>
    </w:p>
    <w:bookmarkEnd w:id="9"/>
    <w:p w14:paraId="0C998416" w14:textId="7982BFED" w:rsidR="00F5687E" w:rsidRDefault="00C43A51">
      <w:pPr>
        <w:ind w:left="-5"/>
      </w:pPr>
      <w:r>
        <w:t>D</w:t>
      </w:r>
      <w:r w:rsidR="003A130B">
        <w:t>ivisions</w:t>
      </w:r>
    </w:p>
    <w:tbl>
      <w:tblPr>
        <w:tblStyle w:val="TableGrid"/>
        <w:tblW w:w="5000" w:type="pct"/>
        <w:jc w:val="center"/>
        <w:tblInd w:w="0" w:type="dxa"/>
        <w:tblLayout w:type="fixed"/>
        <w:tblLook w:val="04A0" w:firstRow="1" w:lastRow="0" w:firstColumn="1" w:lastColumn="0" w:noHBand="0" w:noVBand="1"/>
      </w:tblPr>
      <w:tblGrid>
        <w:gridCol w:w="2142"/>
        <w:gridCol w:w="2685"/>
        <w:gridCol w:w="1690"/>
        <w:gridCol w:w="2051"/>
      </w:tblGrid>
      <w:tr w:rsidR="00C43A51" w:rsidRPr="00C43A51" w14:paraId="72CE3F03" w14:textId="77777777" w:rsidTr="00115061">
        <w:trPr>
          <w:trHeight w:val="20"/>
          <w:jc w:val="center"/>
        </w:trPr>
        <w:tc>
          <w:tcPr>
            <w:tcW w:w="1250" w:type="pct"/>
            <w:tcBorders>
              <w:top w:val="single" w:sz="4" w:space="0" w:color="auto"/>
              <w:bottom w:val="single" w:sz="4" w:space="0" w:color="auto"/>
            </w:tcBorders>
            <w:vAlign w:val="center"/>
            <w:hideMark/>
          </w:tcPr>
          <w:p w14:paraId="7B8CF69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lastRenderedPageBreak/>
              <w:t>Region Code</w:t>
            </w:r>
          </w:p>
        </w:tc>
        <w:tc>
          <w:tcPr>
            <w:tcW w:w="1567" w:type="pct"/>
            <w:tcBorders>
              <w:top w:val="single" w:sz="4" w:space="0" w:color="auto"/>
              <w:bottom w:val="single" w:sz="4" w:space="0" w:color="auto"/>
            </w:tcBorders>
            <w:vAlign w:val="center"/>
            <w:hideMark/>
          </w:tcPr>
          <w:p w14:paraId="69DD66AE"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Country Name</w:t>
            </w:r>
          </w:p>
        </w:tc>
        <w:tc>
          <w:tcPr>
            <w:tcW w:w="986" w:type="pct"/>
            <w:tcBorders>
              <w:top w:val="single" w:sz="4" w:space="0" w:color="auto"/>
              <w:bottom w:val="single" w:sz="4" w:space="0" w:color="auto"/>
            </w:tcBorders>
            <w:vAlign w:val="center"/>
            <w:hideMark/>
          </w:tcPr>
          <w:p w14:paraId="6DB92143" w14:textId="565EA7AB" w:rsidR="00C43A51" w:rsidRPr="00C43A51" w:rsidRDefault="00C43A51" w:rsidP="0011506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 xml:space="preserve">Number of </w:t>
            </w:r>
            <w:r>
              <w:rPr>
                <w:rFonts w:eastAsia="Times New Roman" w:cs="Calibri"/>
                <w:kern w:val="0"/>
                <w:sz w:val="18"/>
                <w14:ligatures w14:val="none"/>
              </w:rPr>
              <w:t>a</w:t>
            </w:r>
            <w:r w:rsidRPr="00C43A51">
              <w:rPr>
                <w:rFonts w:eastAsia="Times New Roman" w:cs="Calibri"/>
                <w:kern w:val="0"/>
                <w:sz w:val="18"/>
                <w14:ligatures w14:val="none"/>
              </w:rPr>
              <w:t>dministrative subdivisions</w:t>
            </w:r>
          </w:p>
        </w:tc>
        <w:tc>
          <w:tcPr>
            <w:tcW w:w="1197" w:type="pct"/>
            <w:tcBorders>
              <w:top w:val="single" w:sz="4" w:space="0" w:color="auto"/>
              <w:bottom w:val="single" w:sz="4" w:space="0" w:color="auto"/>
            </w:tcBorders>
            <w:vAlign w:val="center"/>
            <w:hideMark/>
          </w:tcPr>
          <w:p w14:paraId="723DF170" w14:textId="77777777" w:rsidR="00C43A51" w:rsidRPr="00C43A51" w:rsidRDefault="00C43A51" w:rsidP="0011506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Share of total observations</w:t>
            </w:r>
          </w:p>
        </w:tc>
      </w:tr>
      <w:tr w:rsidR="00753767" w:rsidRPr="00C43A51" w14:paraId="57524FA4" w14:textId="77777777" w:rsidTr="00753767">
        <w:trPr>
          <w:trHeight w:val="20"/>
          <w:jc w:val="center"/>
        </w:trPr>
        <w:tc>
          <w:tcPr>
            <w:tcW w:w="1250" w:type="pct"/>
            <w:vMerge w:val="restart"/>
            <w:tcBorders>
              <w:top w:val="single" w:sz="4" w:space="0" w:color="auto"/>
            </w:tcBorders>
            <w:vAlign w:val="center"/>
            <w:hideMark/>
          </w:tcPr>
          <w:p w14:paraId="18AB1258"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EAP</w:t>
            </w:r>
          </w:p>
        </w:tc>
        <w:tc>
          <w:tcPr>
            <w:tcW w:w="1567" w:type="pct"/>
            <w:tcBorders>
              <w:top w:val="single" w:sz="4" w:space="0" w:color="auto"/>
            </w:tcBorders>
            <w:hideMark/>
          </w:tcPr>
          <w:p w14:paraId="75EB6D5E"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Cambodia</w:t>
            </w:r>
          </w:p>
        </w:tc>
        <w:tc>
          <w:tcPr>
            <w:tcW w:w="986" w:type="pct"/>
            <w:tcBorders>
              <w:top w:val="single" w:sz="4" w:space="0" w:color="auto"/>
            </w:tcBorders>
            <w:hideMark/>
          </w:tcPr>
          <w:p w14:paraId="63CFA03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24</w:t>
            </w:r>
          </w:p>
        </w:tc>
        <w:tc>
          <w:tcPr>
            <w:tcW w:w="1197" w:type="pct"/>
            <w:tcBorders>
              <w:top w:val="single" w:sz="4" w:space="0" w:color="auto"/>
            </w:tcBorders>
            <w:hideMark/>
          </w:tcPr>
          <w:p w14:paraId="2F423B91"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4.4</w:t>
            </w:r>
          </w:p>
        </w:tc>
      </w:tr>
      <w:tr w:rsidR="00753767" w:rsidRPr="00C43A51" w14:paraId="78CF8358" w14:textId="77777777" w:rsidTr="00753767">
        <w:trPr>
          <w:trHeight w:val="20"/>
          <w:jc w:val="center"/>
        </w:trPr>
        <w:tc>
          <w:tcPr>
            <w:tcW w:w="1250" w:type="pct"/>
            <w:vMerge/>
            <w:tcBorders>
              <w:bottom w:val="single" w:sz="4" w:space="0" w:color="auto"/>
            </w:tcBorders>
            <w:vAlign w:val="center"/>
            <w:hideMark/>
          </w:tcPr>
          <w:p w14:paraId="1D77194B"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tcBorders>
              <w:bottom w:val="single" w:sz="4" w:space="0" w:color="auto"/>
            </w:tcBorders>
            <w:hideMark/>
          </w:tcPr>
          <w:p w14:paraId="7D120CD6"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Lao PDR</w:t>
            </w:r>
          </w:p>
        </w:tc>
        <w:tc>
          <w:tcPr>
            <w:tcW w:w="986" w:type="pct"/>
            <w:tcBorders>
              <w:bottom w:val="single" w:sz="4" w:space="0" w:color="auto"/>
            </w:tcBorders>
            <w:hideMark/>
          </w:tcPr>
          <w:p w14:paraId="38836F98"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18</w:t>
            </w:r>
          </w:p>
        </w:tc>
        <w:tc>
          <w:tcPr>
            <w:tcW w:w="1197" w:type="pct"/>
            <w:tcBorders>
              <w:bottom w:val="single" w:sz="4" w:space="0" w:color="auto"/>
            </w:tcBorders>
            <w:hideMark/>
          </w:tcPr>
          <w:p w14:paraId="255CEBD1"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3.3</w:t>
            </w:r>
          </w:p>
        </w:tc>
      </w:tr>
      <w:tr w:rsidR="00753767" w:rsidRPr="00C43A51" w14:paraId="385FCCEC" w14:textId="77777777" w:rsidTr="00753767">
        <w:trPr>
          <w:trHeight w:val="20"/>
          <w:jc w:val="center"/>
        </w:trPr>
        <w:tc>
          <w:tcPr>
            <w:tcW w:w="1250" w:type="pct"/>
            <w:tcBorders>
              <w:top w:val="single" w:sz="4" w:space="0" w:color="auto"/>
              <w:bottom w:val="single" w:sz="4" w:space="0" w:color="auto"/>
            </w:tcBorders>
            <w:vAlign w:val="center"/>
            <w:hideMark/>
          </w:tcPr>
          <w:p w14:paraId="4BEEBFAE"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ECA</w:t>
            </w:r>
          </w:p>
        </w:tc>
        <w:tc>
          <w:tcPr>
            <w:tcW w:w="1567" w:type="pct"/>
            <w:tcBorders>
              <w:top w:val="single" w:sz="4" w:space="0" w:color="auto"/>
              <w:bottom w:val="single" w:sz="4" w:space="0" w:color="auto"/>
            </w:tcBorders>
            <w:hideMark/>
          </w:tcPr>
          <w:p w14:paraId="213C41A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Armenia</w:t>
            </w:r>
          </w:p>
        </w:tc>
        <w:tc>
          <w:tcPr>
            <w:tcW w:w="986" w:type="pct"/>
            <w:tcBorders>
              <w:top w:val="single" w:sz="4" w:space="0" w:color="auto"/>
              <w:bottom w:val="single" w:sz="4" w:space="0" w:color="auto"/>
            </w:tcBorders>
            <w:hideMark/>
          </w:tcPr>
          <w:p w14:paraId="1FAFED3A"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11</w:t>
            </w:r>
          </w:p>
        </w:tc>
        <w:tc>
          <w:tcPr>
            <w:tcW w:w="1197" w:type="pct"/>
            <w:tcBorders>
              <w:top w:val="single" w:sz="4" w:space="0" w:color="auto"/>
              <w:bottom w:val="single" w:sz="4" w:space="0" w:color="auto"/>
            </w:tcBorders>
            <w:hideMark/>
          </w:tcPr>
          <w:p w14:paraId="3B2C9513"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w:t>
            </w:r>
          </w:p>
        </w:tc>
      </w:tr>
      <w:tr w:rsidR="00753767" w:rsidRPr="00C43A51" w14:paraId="531E4A66" w14:textId="77777777" w:rsidTr="00753767">
        <w:trPr>
          <w:trHeight w:val="20"/>
          <w:jc w:val="center"/>
        </w:trPr>
        <w:tc>
          <w:tcPr>
            <w:tcW w:w="1250" w:type="pct"/>
            <w:vMerge w:val="restart"/>
            <w:tcBorders>
              <w:top w:val="single" w:sz="4" w:space="0" w:color="auto"/>
            </w:tcBorders>
            <w:vAlign w:val="center"/>
            <w:hideMark/>
          </w:tcPr>
          <w:p w14:paraId="4E455D77"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LAC</w:t>
            </w:r>
          </w:p>
        </w:tc>
        <w:tc>
          <w:tcPr>
            <w:tcW w:w="1567" w:type="pct"/>
            <w:tcBorders>
              <w:top w:val="single" w:sz="4" w:space="0" w:color="auto"/>
            </w:tcBorders>
            <w:hideMark/>
          </w:tcPr>
          <w:p w14:paraId="561F6F01"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Bolivia</w:t>
            </w:r>
          </w:p>
        </w:tc>
        <w:tc>
          <w:tcPr>
            <w:tcW w:w="986" w:type="pct"/>
            <w:tcBorders>
              <w:top w:val="single" w:sz="4" w:space="0" w:color="auto"/>
            </w:tcBorders>
            <w:hideMark/>
          </w:tcPr>
          <w:p w14:paraId="0EF24BDD"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9</w:t>
            </w:r>
          </w:p>
        </w:tc>
        <w:tc>
          <w:tcPr>
            <w:tcW w:w="1197" w:type="pct"/>
            <w:tcBorders>
              <w:top w:val="single" w:sz="4" w:space="0" w:color="auto"/>
            </w:tcBorders>
            <w:hideMark/>
          </w:tcPr>
          <w:p w14:paraId="0055103E"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1.7</w:t>
            </w:r>
          </w:p>
        </w:tc>
      </w:tr>
      <w:tr w:rsidR="00C43A51" w:rsidRPr="00C43A51" w14:paraId="06BA0124" w14:textId="77777777" w:rsidTr="00115061">
        <w:trPr>
          <w:trHeight w:val="20"/>
          <w:jc w:val="center"/>
        </w:trPr>
        <w:tc>
          <w:tcPr>
            <w:tcW w:w="1250" w:type="pct"/>
            <w:vMerge/>
            <w:vAlign w:val="center"/>
            <w:hideMark/>
          </w:tcPr>
          <w:p w14:paraId="328EC7BF"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2A91C461"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Brazil</w:t>
            </w:r>
          </w:p>
        </w:tc>
        <w:tc>
          <w:tcPr>
            <w:tcW w:w="986" w:type="pct"/>
            <w:hideMark/>
          </w:tcPr>
          <w:p w14:paraId="3527767C"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27</w:t>
            </w:r>
          </w:p>
        </w:tc>
        <w:tc>
          <w:tcPr>
            <w:tcW w:w="1197" w:type="pct"/>
            <w:hideMark/>
          </w:tcPr>
          <w:p w14:paraId="45F94432"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w:t>
            </w:r>
          </w:p>
        </w:tc>
      </w:tr>
      <w:tr w:rsidR="00C43A51" w:rsidRPr="00C43A51" w14:paraId="202EC85F" w14:textId="77777777" w:rsidTr="00115061">
        <w:trPr>
          <w:trHeight w:val="20"/>
          <w:jc w:val="center"/>
        </w:trPr>
        <w:tc>
          <w:tcPr>
            <w:tcW w:w="1250" w:type="pct"/>
            <w:vMerge/>
            <w:vAlign w:val="center"/>
            <w:hideMark/>
          </w:tcPr>
          <w:p w14:paraId="28CA86C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7CA1BC82"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Colombia</w:t>
            </w:r>
          </w:p>
        </w:tc>
        <w:tc>
          <w:tcPr>
            <w:tcW w:w="986" w:type="pct"/>
            <w:hideMark/>
          </w:tcPr>
          <w:p w14:paraId="63C9D23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29</w:t>
            </w:r>
          </w:p>
        </w:tc>
        <w:tc>
          <w:tcPr>
            <w:tcW w:w="1197" w:type="pct"/>
            <w:hideMark/>
          </w:tcPr>
          <w:p w14:paraId="50928616" w14:textId="4DC21A0C"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w:t>
            </w:r>
            <w:r w:rsidR="007B6602">
              <w:rPr>
                <w:rFonts w:eastAsia="Times New Roman" w:cs="Calibri"/>
                <w:kern w:val="0"/>
                <w:sz w:val="18"/>
                <w14:ligatures w14:val="none"/>
              </w:rPr>
              <w:t>3</w:t>
            </w:r>
          </w:p>
        </w:tc>
      </w:tr>
      <w:tr w:rsidR="00C43A51" w:rsidRPr="00C43A51" w14:paraId="56F16061" w14:textId="77777777" w:rsidTr="00115061">
        <w:trPr>
          <w:trHeight w:val="20"/>
          <w:jc w:val="center"/>
        </w:trPr>
        <w:tc>
          <w:tcPr>
            <w:tcW w:w="1250" w:type="pct"/>
            <w:vMerge/>
            <w:vAlign w:val="center"/>
            <w:hideMark/>
          </w:tcPr>
          <w:p w14:paraId="3DC997D7"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79D2D6D6"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Costa Rica</w:t>
            </w:r>
          </w:p>
        </w:tc>
        <w:tc>
          <w:tcPr>
            <w:tcW w:w="986" w:type="pct"/>
            <w:hideMark/>
          </w:tcPr>
          <w:p w14:paraId="2888D7BD"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7</w:t>
            </w:r>
          </w:p>
        </w:tc>
        <w:tc>
          <w:tcPr>
            <w:tcW w:w="1197" w:type="pct"/>
            <w:hideMark/>
          </w:tcPr>
          <w:p w14:paraId="24C93B3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1.3</w:t>
            </w:r>
          </w:p>
        </w:tc>
      </w:tr>
      <w:tr w:rsidR="00C43A51" w:rsidRPr="00C43A51" w14:paraId="19C7EA6B" w14:textId="77777777" w:rsidTr="00115061">
        <w:trPr>
          <w:trHeight w:val="20"/>
          <w:jc w:val="center"/>
        </w:trPr>
        <w:tc>
          <w:tcPr>
            <w:tcW w:w="1250" w:type="pct"/>
            <w:vMerge/>
            <w:vAlign w:val="center"/>
            <w:hideMark/>
          </w:tcPr>
          <w:p w14:paraId="050B5A4F"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1F943FD9"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Dominican Republic</w:t>
            </w:r>
          </w:p>
        </w:tc>
        <w:tc>
          <w:tcPr>
            <w:tcW w:w="986" w:type="pct"/>
            <w:hideMark/>
          </w:tcPr>
          <w:p w14:paraId="156235AF"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32</w:t>
            </w:r>
          </w:p>
        </w:tc>
        <w:tc>
          <w:tcPr>
            <w:tcW w:w="1197" w:type="pct"/>
            <w:hideMark/>
          </w:tcPr>
          <w:p w14:paraId="73B249D8"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5.9</w:t>
            </w:r>
          </w:p>
        </w:tc>
      </w:tr>
      <w:tr w:rsidR="00C43A51" w:rsidRPr="00C43A51" w14:paraId="6C18682F" w14:textId="77777777" w:rsidTr="00115061">
        <w:trPr>
          <w:trHeight w:val="20"/>
          <w:jc w:val="center"/>
        </w:trPr>
        <w:tc>
          <w:tcPr>
            <w:tcW w:w="1250" w:type="pct"/>
            <w:vMerge/>
            <w:vAlign w:val="center"/>
            <w:hideMark/>
          </w:tcPr>
          <w:p w14:paraId="2578C398"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24F464F4"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Ecuador</w:t>
            </w:r>
          </w:p>
        </w:tc>
        <w:tc>
          <w:tcPr>
            <w:tcW w:w="986" w:type="pct"/>
            <w:hideMark/>
          </w:tcPr>
          <w:p w14:paraId="4ED1AA19"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24</w:t>
            </w:r>
          </w:p>
        </w:tc>
        <w:tc>
          <w:tcPr>
            <w:tcW w:w="1197" w:type="pct"/>
            <w:hideMark/>
          </w:tcPr>
          <w:p w14:paraId="5C776988"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4.4</w:t>
            </w:r>
          </w:p>
        </w:tc>
      </w:tr>
      <w:tr w:rsidR="00C43A51" w:rsidRPr="00C43A51" w14:paraId="290B714E" w14:textId="77777777" w:rsidTr="00115061">
        <w:trPr>
          <w:trHeight w:val="20"/>
          <w:jc w:val="center"/>
        </w:trPr>
        <w:tc>
          <w:tcPr>
            <w:tcW w:w="1250" w:type="pct"/>
            <w:vMerge/>
            <w:vAlign w:val="center"/>
            <w:hideMark/>
          </w:tcPr>
          <w:p w14:paraId="7F61D4D9"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672F79BF"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El Salvador</w:t>
            </w:r>
          </w:p>
        </w:tc>
        <w:tc>
          <w:tcPr>
            <w:tcW w:w="986" w:type="pct"/>
            <w:hideMark/>
          </w:tcPr>
          <w:p w14:paraId="235E8A6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14</w:t>
            </w:r>
          </w:p>
        </w:tc>
        <w:tc>
          <w:tcPr>
            <w:tcW w:w="1197" w:type="pct"/>
            <w:hideMark/>
          </w:tcPr>
          <w:p w14:paraId="7CF0481D"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2.6</w:t>
            </w:r>
          </w:p>
        </w:tc>
      </w:tr>
      <w:tr w:rsidR="00C43A51" w:rsidRPr="00C43A51" w14:paraId="1159F09F" w14:textId="77777777" w:rsidTr="00115061">
        <w:trPr>
          <w:trHeight w:val="20"/>
          <w:jc w:val="center"/>
        </w:trPr>
        <w:tc>
          <w:tcPr>
            <w:tcW w:w="1250" w:type="pct"/>
            <w:vMerge/>
            <w:vAlign w:val="center"/>
            <w:hideMark/>
          </w:tcPr>
          <w:p w14:paraId="37067F0D"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F44D4A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Guatemala</w:t>
            </w:r>
          </w:p>
        </w:tc>
        <w:tc>
          <w:tcPr>
            <w:tcW w:w="986" w:type="pct"/>
            <w:hideMark/>
          </w:tcPr>
          <w:p w14:paraId="5E9F4769"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22</w:t>
            </w:r>
          </w:p>
        </w:tc>
        <w:tc>
          <w:tcPr>
            <w:tcW w:w="1197" w:type="pct"/>
            <w:hideMark/>
          </w:tcPr>
          <w:p w14:paraId="1F837631" w14:textId="5BFC75B3"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w:t>
            </w:r>
          </w:p>
        </w:tc>
      </w:tr>
      <w:tr w:rsidR="00C43A51" w:rsidRPr="00C43A51" w14:paraId="4150AC91" w14:textId="77777777" w:rsidTr="00115061">
        <w:trPr>
          <w:trHeight w:val="20"/>
          <w:jc w:val="center"/>
        </w:trPr>
        <w:tc>
          <w:tcPr>
            <w:tcW w:w="1250" w:type="pct"/>
            <w:vMerge/>
            <w:vAlign w:val="center"/>
            <w:hideMark/>
          </w:tcPr>
          <w:p w14:paraId="4270CDCB"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7C93A9E7"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Haiti</w:t>
            </w:r>
          </w:p>
        </w:tc>
        <w:tc>
          <w:tcPr>
            <w:tcW w:w="986" w:type="pct"/>
            <w:hideMark/>
          </w:tcPr>
          <w:p w14:paraId="47E9F5DC"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10</w:t>
            </w:r>
          </w:p>
        </w:tc>
        <w:tc>
          <w:tcPr>
            <w:tcW w:w="1197" w:type="pct"/>
            <w:hideMark/>
          </w:tcPr>
          <w:p w14:paraId="7589C4D2"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1.8</w:t>
            </w:r>
          </w:p>
        </w:tc>
      </w:tr>
      <w:tr w:rsidR="00C43A51" w:rsidRPr="00C43A51" w14:paraId="17C27090" w14:textId="77777777" w:rsidTr="00115061">
        <w:trPr>
          <w:trHeight w:val="20"/>
          <w:jc w:val="center"/>
        </w:trPr>
        <w:tc>
          <w:tcPr>
            <w:tcW w:w="1250" w:type="pct"/>
            <w:vMerge/>
            <w:vAlign w:val="center"/>
            <w:hideMark/>
          </w:tcPr>
          <w:p w14:paraId="4EF90F51"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43CD6BB2"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Honduras</w:t>
            </w:r>
          </w:p>
        </w:tc>
        <w:tc>
          <w:tcPr>
            <w:tcW w:w="986" w:type="pct"/>
            <w:hideMark/>
          </w:tcPr>
          <w:p w14:paraId="3AA95A44"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18</w:t>
            </w:r>
          </w:p>
        </w:tc>
        <w:tc>
          <w:tcPr>
            <w:tcW w:w="1197" w:type="pct"/>
            <w:hideMark/>
          </w:tcPr>
          <w:p w14:paraId="0DF8AAF0"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3.3</w:t>
            </w:r>
          </w:p>
        </w:tc>
      </w:tr>
      <w:tr w:rsidR="00C43A51" w:rsidRPr="00C43A51" w14:paraId="5E78FD85" w14:textId="77777777" w:rsidTr="00115061">
        <w:trPr>
          <w:trHeight w:val="20"/>
          <w:jc w:val="center"/>
        </w:trPr>
        <w:tc>
          <w:tcPr>
            <w:tcW w:w="1250" w:type="pct"/>
            <w:vMerge/>
            <w:vAlign w:val="center"/>
            <w:hideMark/>
          </w:tcPr>
          <w:p w14:paraId="196500B5"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52D8E2A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Mexico</w:t>
            </w:r>
          </w:p>
        </w:tc>
        <w:tc>
          <w:tcPr>
            <w:tcW w:w="986" w:type="pct"/>
            <w:hideMark/>
          </w:tcPr>
          <w:p w14:paraId="657C7576"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32</w:t>
            </w:r>
          </w:p>
        </w:tc>
        <w:tc>
          <w:tcPr>
            <w:tcW w:w="1197" w:type="pct"/>
            <w:hideMark/>
          </w:tcPr>
          <w:p w14:paraId="72B32AAC"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5.9</w:t>
            </w:r>
          </w:p>
        </w:tc>
      </w:tr>
      <w:tr w:rsidR="00C43A51" w:rsidRPr="00C43A51" w14:paraId="29E54EE2" w14:textId="77777777" w:rsidTr="00115061">
        <w:trPr>
          <w:trHeight w:val="20"/>
          <w:jc w:val="center"/>
        </w:trPr>
        <w:tc>
          <w:tcPr>
            <w:tcW w:w="1250" w:type="pct"/>
            <w:vMerge/>
            <w:vAlign w:val="center"/>
            <w:hideMark/>
          </w:tcPr>
          <w:p w14:paraId="62A2CCE1"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1A9AAD5B"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Nicaragua</w:t>
            </w:r>
          </w:p>
        </w:tc>
        <w:tc>
          <w:tcPr>
            <w:tcW w:w="986" w:type="pct"/>
            <w:hideMark/>
          </w:tcPr>
          <w:p w14:paraId="3AF938D3"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17</w:t>
            </w:r>
          </w:p>
        </w:tc>
        <w:tc>
          <w:tcPr>
            <w:tcW w:w="1197" w:type="pct"/>
            <w:hideMark/>
          </w:tcPr>
          <w:p w14:paraId="0605DC69"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3.1</w:t>
            </w:r>
          </w:p>
        </w:tc>
      </w:tr>
      <w:tr w:rsidR="00C43A51" w:rsidRPr="00C43A51" w14:paraId="27241D1C" w14:textId="77777777" w:rsidTr="00115061">
        <w:trPr>
          <w:trHeight w:val="20"/>
          <w:jc w:val="center"/>
        </w:trPr>
        <w:tc>
          <w:tcPr>
            <w:tcW w:w="1250" w:type="pct"/>
            <w:vMerge/>
            <w:vAlign w:val="center"/>
            <w:hideMark/>
          </w:tcPr>
          <w:p w14:paraId="5D100A6B"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4B6C8E4D"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Peru</w:t>
            </w:r>
          </w:p>
        </w:tc>
        <w:tc>
          <w:tcPr>
            <w:tcW w:w="986" w:type="pct"/>
            <w:hideMark/>
          </w:tcPr>
          <w:p w14:paraId="1E9BFB3D"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25</w:t>
            </w:r>
          </w:p>
        </w:tc>
        <w:tc>
          <w:tcPr>
            <w:tcW w:w="1197" w:type="pct"/>
            <w:hideMark/>
          </w:tcPr>
          <w:p w14:paraId="61020FC7"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4.6</w:t>
            </w:r>
          </w:p>
        </w:tc>
      </w:tr>
      <w:tr w:rsidR="00753767" w:rsidRPr="00C43A51" w14:paraId="48FF90E1" w14:textId="77777777" w:rsidTr="00753767">
        <w:trPr>
          <w:trHeight w:val="20"/>
          <w:jc w:val="center"/>
        </w:trPr>
        <w:tc>
          <w:tcPr>
            <w:tcW w:w="1250" w:type="pct"/>
            <w:vMerge/>
            <w:tcBorders>
              <w:bottom w:val="single" w:sz="4" w:space="0" w:color="auto"/>
            </w:tcBorders>
            <w:vAlign w:val="center"/>
            <w:hideMark/>
          </w:tcPr>
          <w:p w14:paraId="2F7D9084"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p>
        </w:tc>
        <w:tc>
          <w:tcPr>
            <w:tcW w:w="1567" w:type="pct"/>
            <w:tcBorders>
              <w:bottom w:val="single" w:sz="4" w:space="0" w:color="auto"/>
            </w:tcBorders>
            <w:hideMark/>
          </w:tcPr>
          <w:p w14:paraId="7F1DED85"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Venezuela, RB</w:t>
            </w:r>
          </w:p>
        </w:tc>
        <w:tc>
          <w:tcPr>
            <w:tcW w:w="986" w:type="pct"/>
            <w:tcBorders>
              <w:bottom w:val="single" w:sz="4" w:space="0" w:color="auto"/>
            </w:tcBorders>
            <w:hideMark/>
          </w:tcPr>
          <w:p w14:paraId="3A2DF1CA"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24</w:t>
            </w:r>
          </w:p>
        </w:tc>
        <w:tc>
          <w:tcPr>
            <w:tcW w:w="1197" w:type="pct"/>
            <w:tcBorders>
              <w:bottom w:val="single" w:sz="4" w:space="0" w:color="auto"/>
            </w:tcBorders>
            <w:hideMark/>
          </w:tcPr>
          <w:p w14:paraId="0FA1B092"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4.4</w:t>
            </w:r>
          </w:p>
        </w:tc>
      </w:tr>
      <w:tr w:rsidR="00753767" w:rsidRPr="00C43A51" w14:paraId="56DBB2C5" w14:textId="77777777" w:rsidTr="00753767">
        <w:trPr>
          <w:trHeight w:val="20"/>
          <w:jc w:val="center"/>
        </w:trPr>
        <w:tc>
          <w:tcPr>
            <w:tcW w:w="1250" w:type="pct"/>
            <w:tcBorders>
              <w:top w:val="single" w:sz="4" w:space="0" w:color="auto"/>
              <w:bottom w:val="single" w:sz="4" w:space="0" w:color="auto"/>
            </w:tcBorders>
            <w:vAlign w:val="center"/>
            <w:hideMark/>
          </w:tcPr>
          <w:p w14:paraId="0F65D84A"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MNA</w:t>
            </w:r>
          </w:p>
        </w:tc>
        <w:tc>
          <w:tcPr>
            <w:tcW w:w="1567" w:type="pct"/>
            <w:tcBorders>
              <w:top w:val="single" w:sz="4" w:space="0" w:color="auto"/>
              <w:bottom w:val="single" w:sz="4" w:space="0" w:color="auto"/>
            </w:tcBorders>
            <w:hideMark/>
          </w:tcPr>
          <w:p w14:paraId="51274C79"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Iran, Islamic Republic</w:t>
            </w:r>
          </w:p>
        </w:tc>
        <w:tc>
          <w:tcPr>
            <w:tcW w:w="986" w:type="pct"/>
            <w:tcBorders>
              <w:top w:val="single" w:sz="4" w:space="0" w:color="auto"/>
              <w:bottom w:val="single" w:sz="4" w:space="0" w:color="auto"/>
            </w:tcBorders>
            <w:hideMark/>
          </w:tcPr>
          <w:p w14:paraId="6BADA3A2"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30</w:t>
            </w:r>
          </w:p>
        </w:tc>
        <w:tc>
          <w:tcPr>
            <w:tcW w:w="1197" w:type="pct"/>
            <w:tcBorders>
              <w:top w:val="single" w:sz="4" w:space="0" w:color="auto"/>
              <w:bottom w:val="single" w:sz="4" w:space="0" w:color="auto"/>
            </w:tcBorders>
            <w:hideMark/>
          </w:tcPr>
          <w:p w14:paraId="7F6B6A58"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5.5</w:t>
            </w:r>
          </w:p>
        </w:tc>
      </w:tr>
      <w:tr w:rsidR="00753767" w:rsidRPr="00C43A51" w14:paraId="2D56063B" w14:textId="77777777" w:rsidTr="00753767">
        <w:trPr>
          <w:trHeight w:val="20"/>
          <w:jc w:val="center"/>
        </w:trPr>
        <w:tc>
          <w:tcPr>
            <w:tcW w:w="1250" w:type="pct"/>
            <w:tcBorders>
              <w:top w:val="single" w:sz="4" w:space="0" w:color="auto"/>
              <w:bottom w:val="single" w:sz="4" w:space="0" w:color="auto"/>
            </w:tcBorders>
            <w:vAlign w:val="center"/>
            <w:hideMark/>
          </w:tcPr>
          <w:p w14:paraId="456612B2" w14:textId="77777777" w:rsidR="00C43A51" w:rsidRPr="00C43A51" w:rsidRDefault="00C43A51"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SAS</w:t>
            </w:r>
          </w:p>
        </w:tc>
        <w:tc>
          <w:tcPr>
            <w:tcW w:w="1567" w:type="pct"/>
            <w:tcBorders>
              <w:top w:val="single" w:sz="4" w:space="0" w:color="auto"/>
              <w:bottom w:val="single" w:sz="4" w:space="0" w:color="auto"/>
            </w:tcBorders>
            <w:hideMark/>
          </w:tcPr>
          <w:p w14:paraId="77E81C6A" w14:textId="77777777" w:rsidR="00C43A51" w:rsidRPr="00C43A51" w:rsidRDefault="00C43A51"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Nepal</w:t>
            </w:r>
          </w:p>
        </w:tc>
        <w:tc>
          <w:tcPr>
            <w:tcW w:w="986" w:type="pct"/>
            <w:tcBorders>
              <w:top w:val="single" w:sz="4" w:space="0" w:color="auto"/>
              <w:bottom w:val="single" w:sz="4" w:space="0" w:color="auto"/>
            </w:tcBorders>
            <w:hideMark/>
          </w:tcPr>
          <w:p w14:paraId="1E9701FA"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14</w:t>
            </w:r>
          </w:p>
        </w:tc>
        <w:tc>
          <w:tcPr>
            <w:tcW w:w="1197" w:type="pct"/>
            <w:tcBorders>
              <w:top w:val="single" w:sz="4" w:space="0" w:color="auto"/>
              <w:bottom w:val="single" w:sz="4" w:space="0" w:color="auto"/>
            </w:tcBorders>
            <w:hideMark/>
          </w:tcPr>
          <w:p w14:paraId="223383DA" w14:textId="77777777" w:rsidR="00C43A51" w:rsidRPr="00C43A51" w:rsidRDefault="00C43A51"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2.6</w:t>
            </w:r>
          </w:p>
        </w:tc>
      </w:tr>
      <w:tr w:rsidR="00E86C6B" w:rsidRPr="00C43A51" w14:paraId="7B6B9691" w14:textId="77777777" w:rsidTr="00753767">
        <w:trPr>
          <w:trHeight w:val="20"/>
          <w:jc w:val="center"/>
        </w:trPr>
        <w:tc>
          <w:tcPr>
            <w:tcW w:w="1250" w:type="pct"/>
            <w:vMerge w:val="restart"/>
            <w:tcBorders>
              <w:top w:val="single" w:sz="4" w:space="0" w:color="auto"/>
            </w:tcBorders>
            <w:vAlign w:val="center"/>
            <w:hideMark/>
          </w:tcPr>
          <w:p w14:paraId="5839DC93" w14:textId="77777777" w:rsidR="00E86C6B" w:rsidRPr="00C43A51" w:rsidRDefault="00E86C6B" w:rsidP="0011506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SSA</w:t>
            </w:r>
          </w:p>
        </w:tc>
        <w:tc>
          <w:tcPr>
            <w:tcW w:w="1567" w:type="pct"/>
            <w:tcBorders>
              <w:top w:val="single" w:sz="4" w:space="0" w:color="auto"/>
            </w:tcBorders>
            <w:hideMark/>
          </w:tcPr>
          <w:p w14:paraId="3ECFD6C2"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Benin</w:t>
            </w:r>
          </w:p>
        </w:tc>
        <w:tc>
          <w:tcPr>
            <w:tcW w:w="986" w:type="pct"/>
            <w:tcBorders>
              <w:top w:val="single" w:sz="4" w:space="0" w:color="auto"/>
            </w:tcBorders>
            <w:hideMark/>
          </w:tcPr>
          <w:p w14:paraId="466EA4C5"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12</w:t>
            </w:r>
          </w:p>
        </w:tc>
        <w:tc>
          <w:tcPr>
            <w:tcW w:w="1197" w:type="pct"/>
            <w:tcBorders>
              <w:top w:val="single" w:sz="4" w:space="0" w:color="auto"/>
            </w:tcBorders>
            <w:hideMark/>
          </w:tcPr>
          <w:p w14:paraId="1DB400AC"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2.2</w:t>
            </w:r>
          </w:p>
        </w:tc>
      </w:tr>
      <w:tr w:rsidR="00E86C6B" w:rsidRPr="00C43A51" w14:paraId="368B28BE" w14:textId="77777777" w:rsidTr="00115061">
        <w:trPr>
          <w:trHeight w:val="20"/>
          <w:jc w:val="center"/>
        </w:trPr>
        <w:tc>
          <w:tcPr>
            <w:tcW w:w="1250" w:type="pct"/>
            <w:vMerge/>
            <w:hideMark/>
          </w:tcPr>
          <w:p w14:paraId="6419A82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4755B085"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Ghana</w:t>
            </w:r>
          </w:p>
        </w:tc>
        <w:tc>
          <w:tcPr>
            <w:tcW w:w="986" w:type="pct"/>
            <w:hideMark/>
          </w:tcPr>
          <w:p w14:paraId="3D61C6EB"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10</w:t>
            </w:r>
          </w:p>
        </w:tc>
        <w:tc>
          <w:tcPr>
            <w:tcW w:w="1197" w:type="pct"/>
            <w:hideMark/>
          </w:tcPr>
          <w:p w14:paraId="6B18EEB9"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1.8</w:t>
            </w:r>
          </w:p>
        </w:tc>
      </w:tr>
      <w:tr w:rsidR="00E86C6B" w:rsidRPr="00C43A51" w14:paraId="49D8BE14" w14:textId="77777777" w:rsidTr="00115061">
        <w:trPr>
          <w:trHeight w:val="20"/>
          <w:jc w:val="center"/>
        </w:trPr>
        <w:tc>
          <w:tcPr>
            <w:tcW w:w="1250" w:type="pct"/>
            <w:vMerge/>
            <w:hideMark/>
          </w:tcPr>
          <w:p w14:paraId="13A6CC54"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0F97B0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Lesotho</w:t>
            </w:r>
          </w:p>
        </w:tc>
        <w:tc>
          <w:tcPr>
            <w:tcW w:w="986" w:type="pct"/>
            <w:hideMark/>
          </w:tcPr>
          <w:p w14:paraId="7DF24E9A"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10</w:t>
            </w:r>
          </w:p>
        </w:tc>
        <w:tc>
          <w:tcPr>
            <w:tcW w:w="1197" w:type="pct"/>
            <w:hideMark/>
          </w:tcPr>
          <w:p w14:paraId="53BE6295"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szCs w:val="18"/>
                <w14:ligatures w14:val="none"/>
              </w:rPr>
              <w:t>1.8</w:t>
            </w:r>
          </w:p>
        </w:tc>
      </w:tr>
      <w:tr w:rsidR="00E86C6B" w:rsidRPr="00C43A51" w14:paraId="7BBCB5F2" w14:textId="77777777" w:rsidTr="00115061">
        <w:trPr>
          <w:trHeight w:val="20"/>
          <w:jc w:val="center"/>
        </w:trPr>
        <w:tc>
          <w:tcPr>
            <w:tcW w:w="1250" w:type="pct"/>
            <w:vMerge/>
            <w:hideMark/>
          </w:tcPr>
          <w:p w14:paraId="1B00D7D7"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A650D07"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Liberia</w:t>
            </w:r>
          </w:p>
        </w:tc>
        <w:tc>
          <w:tcPr>
            <w:tcW w:w="986" w:type="pct"/>
            <w:hideMark/>
          </w:tcPr>
          <w:p w14:paraId="61B188AD"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15</w:t>
            </w:r>
          </w:p>
        </w:tc>
        <w:tc>
          <w:tcPr>
            <w:tcW w:w="1197" w:type="pct"/>
            <w:hideMark/>
          </w:tcPr>
          <w:p w14:paraId="72D54B75"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2.8</w:t>
            </w:r>
          </w:p>
        </w:tc>
      </w:tr>
      <w:tr w:rsidR="00E86C6B" w:rsidRPr="00C43A51" w14:paraId="3C7022F3" w14:textId="77777777" w:rsidTr="00115061">
        <w:trPr>
          <w:trHeight w:val="20"/>
          <w:jc w:val="center"/>
        </w:trPr>
        <w:tc>
          <w:tcPr>
            <w:tcW w:w="1250" w:type="pct"/>
            <w:vMerge/>
            <w:hideMark/>
          </w:tcPr>
          <w:p w14:paraId="119CFB14"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4E58F2F9"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Mali</w:t>
            </w:r>
          </w:p>
        </w:tc>
        <w:tc>
          <w:tcPr>
            <w:tcW w:w="986" w:type="pct"/>
            <w:hideMark/>
          </w:tcPr>
          <w:p w14:paraId="456E29F3"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szCs w:val="18"/>
                <w14:ligatures w14:val="none"/>
              </w:rPr>
              <w:t>9</w:t>
            </w:r>
          </w:p>
        </w:tc>
        <w:tc>
          <w:tcPr>
            <w:tcW w:w="1197" w:type="pct"/>
            <w:hideMark/>
          </w:tcPr>
          <w:p w14:paraId="2E4C33E8"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1.7</w:t>
            </w:r>
          </w:p>
        </w:tc>
      </w:tr>
      <w:tr w:rsidR="00E86C6B" w:rsidRPr="00C43A51" w14:paraId="12ED826C" w14:textId="77777777" w:rsidTr="00115061">
        <w:trPr>
          <w:trHeight w:val="20"/>
          <w:jc w:val="center"/>
        </w:trPr>
        <w:tc>
          <w:tcPr>
            <w:tcW w:w="1250" w:type="pct"/>
            <w:vMerge/>
            <w:hideMark/>
          </w:tcPr>
          <w:p w14:paraId="34F98BAF"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64709662"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lang w:val="es-419"/>
                <w14:ligatures w14:val="none"/>
              </w:rPr>
              <w:t>Mozambique</w:t>
            </w:r>
          </w:p>
        </w:tc>
        <w:tc>
          <w:tcPr>
            <w:tcW w:w="986" w:type="pct"/>
            <w:hideMark/>
          </w:tcPr>
          <w:p w14:paraId="4E461753"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11</w:t>
            </w:r>
          </w:p>
        </w:tc>
        <w:tc>
          <w:tcPr>
            <w:tcW w:w="1197" w:type="pct"/>
            <w:hideMark/>
          </w:tcPr>
          <w:p w14:paraId="71F9B04E"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w:t>
            </w:r>
          </w:p>
        </w:tc>
      </w:tr>
      <w:tr w:rsidR="00E86C6B" w:rsidRPr="00C43A51" w14:paraId="6319939C" w14:textId="77777777" w:rsidTr="00115061">
        <w:trPr>
          <w:trHeight w:val="20"/>
          <w:jc w:val="center"/>
        </w:trPr>
        <w:tc>
          <w:tcPr>
            <w:tcW w:w="1250" w:type="pct"/>
            <w:vMerge/>
            <w:hideMark/>
          </w:tcPr>
          <w:p w14:paraId="3CB113DE"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7054130C"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Rwanda</w:t>
            </w:r>
          </w:p>
        </w:tc>
        <w:tc>
          <w:tcPr>
            <w:tcW w:w="986" w:type="pct"/>
            <w:hideMark/>
          </w:tcPr>
          <w:p w14:paraId="646BA6AC" w14:textId="7F3C3641" w:rsidR="00E86C6B" w:rsidRPr="00C43A51" w:rsidRDefault="00F62BF8" w:rsidP="00C43A51">
            <w:pPr>
              <w:spacing w:after="0" w:line="240" w:lineRule="auto"/>
              <w:ind w:left="0" w:firstLine="0"/>
              <w:jc w:val="center"/>
              <w:rPr>
                <w:rFonts w:eastAsia="Times New Roman" w:cs="Calibri"/>
                <w:kern w:val="0"/>
                <w:sz w:val="18"/>
                <w:szCs w:val="18"/>
                <w14:ligatures w14:val="none"/>
              </w:rPr>
            </w:pPr>
            <w:r>
              <w:rPr>
                <w:rFonts w:eastAsia="Times New Roman" w:cs="Calibri"/>
                <w:kern w:val="0"/>
                <w:sz w:val="18"/>
                <w14:ligatures w14:val="none"/>
              </w:rPr>
              <w:t>6</w:t>
            </w:r>
          </w:p>
        </w:tc>
        <w:tc>
          <w:tcPr>
            <w:tcW w:w="1197" w:type="pct"/>
            <w:hideMark/>
          </w:tcPr>
          <w:p w14:paraId="10E6034E" w14:textId="43FA60D6" w:rsidR="00E86C6B" w:rsidRPr="00C43A51" w:rsidRDefault="007B6602" w:rsidP="00C43A51">
            <w:pPr>
              <w:spacing w:after="0" w:line="240" w:lineRule="auto"/>
              <w:ind w:left="0" w:firstLine="0"/>
              <w:jc w:val="center"/>
              <w:rPr>
                <w:rFonts w:eastAsia="Times New Roman" w:cs="Calibri"/>
                <w:kern w:val="0"/>
                <w:sz w:val="18"/>
                <w:szCs w:val="18"/>
                <w14:ligatures w14:val="none"/>
              </w:rPr>
            </w:pPr>
            <w:r>
              <w:rPr>
                <w:rFonts w:eastAsia="Times New Roman" w:cs="Calibri"/>
                <w:kern w:val="0"/>
                <w:sz w:val="18"/>
                <w14:ligatures w14:val="none"/>
              </w:rPr>
              <w:t>1.1</w:t>
            </w:r>
          </w:p>
        </w:tc>
      </w:tr>
      <w:tr w:rsidR="00E86C6B" w:rsidRPr="00C43A51" w14:paraId="37BBE99A" w14:textId="77777777" w:rsidTr="00115061">
        <w:trPr>
          <w:trHeight w:val="20"/>
          <w:jc w:val="center"/>
        </w:trPr>
        <w:tc>
          <w:tcPr>
            <w:tcW w:w="1250" w:type="pct"/>
            <w:vMerge/>
            <w:hideMark/>
          </w:tcPr>
          <w:p w14:paraId="6740C46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3ABC73FF"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Senegal</w:t>
            </w:r>
          </w:p>
        </w:tc>
        <w:tc>
          <w:tcPr>
            <w:tcW w:w="986" w:type="pct"/>
            <w:hideMark/>
          </w:tcPr>
          <w:p w14:paraId="6ABAD4C7"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11</w:t>
            </w:r>
          </w:p>
        </w:tc>
        <w:tc>
          <w:tcPr>
            <w:tcW w:w="1197" w:type="pct"/>
            <w:hideMark/>
          </w:tcPr>
          <w:p w14:paraId="1C81B9A6"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w:t>
            </w:r>
          </w:p>
        </w:tc>
      </w:tr>
      <w:tr w:rsidR="00E86C6B" w:rsidRPr="00C43A51" w14:paraId="7C8E2F2E" w14:textId="77777777" w:rsidTr="00115061">
        <w:trPr>
          <w:trHeight w:val="20"/>
          <w:jc w:val="center"/>
        </w:trPr>
        <w:tc>
          <w:tcPr>
            <w:tcW w:w="1250" w:type="pct"/>
            <w:vMerge/>
            <w:hideMark/>
          </w:tcPr>
          <w:p w14:paraId="3EFD79AF"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1D320605"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Sierra Leone</w:t>
            </w:r>
          </w:p>
        </w:tc>
        <w:tc>
          <w:tcPr>
            <w:tcW w:w="986" w:type="pct"/>
            <w:hideMark/>
          </w:tcPr>
          <w:p w14:paraId="231DA052"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14</w:t>
            </w:r>
          </w:p>
        </w:tc>
        <w:tc>
          <w:tcPr>
            <w:tcW w:w="1197" w:type="pct"/>
            <w:hideMark/>
          </w:tcPr>
          <w:p w14:paraId="429C2D99"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2.6</w:t>
            </w:r>
          </w:p>
        </w:tc>
      </w:tr>
      <w:tr w:rsidR="00E86C6B" w:rsidRPr="00C43A51" w14:paraId="2A6B7FA7" w14:textId="77777777" w:rsidTr="00115061">
        <w:trPr>
          <w:trHeight w:val="20"/>
          <w:jc w:val="center"/>
        </w:trPr>
        <w:tc>
          <w:tcPr>
            <w:tcW w:w="1250" w:type="pct"/>
            <w:vMerge/>
            <w:hideMark/>
          </w:tcPr>
          <w:p w14:paraId="75B4E76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381F3A35"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Sudan</w:t>
            </w:r>
          </w:p>
        </w:tc>
        <w:tc>
          <w:tcPr>
            <w:tcW w:w="986" w:type="pct"/>
            <w:hideMark/>
          </w:tcPr>
          <w:p w14:paraId="2108D59A"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15</w:t>
            </w:r>
          </w:p>
        </w:tc>
        <w:tc>
          <w:tcPr>
            <w:tcW w:w="1197" w:type="pct"/>
            <w:hideMark/>
          </w:tcPr>
          <w:p w14:paraId="6AF74052"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2.8</w:t>
            </w:r>
          </w:p>
        </w:tc>
      </w:tr>
      <w:tr w:rsidR="00E86C6B" w:rsidRPr="00C43A51" w14:paraId="64661A5C" w14:textId="77777777" w:rsidTr="00115061">
        <w:trPr>
          <w:trHeight w:val="20"/>
          <w:jc w:val="center"/>
        </w:trPr>
        <w:tc>
          <w:tcPr>
            <w:tcW w:w="1250" w:type="pct"/>
            <w:vMerge/>
            <w:hideMark/>
          </w:tcPr>
          <w:p w14:paraId="790CF8D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1B43644"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Tanzania</w:t>
            </w:r>
          </w:p>
        </w:tc>
        <w:tc>
          <w:tcPr>
            <w:tcW w:w="986" w:type="pct"/>
            <w:hideMark/>
          </w:tcPr>
          <w:p w14:paraId="79928B77"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30</w:t>
            </w:r>
          </w:p>
        </w:tc>
        <w:tc>
          <w:tcPr>
            <w:tcW w:w="1197" w:type="pct"/>
            <w:hideMark/>
          </w:tcPr>
          <w:p w14:paraId="05FD605A"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5.5</w:t>
            </w:r>
          </w:p>
        </w:tc>
      </w:tr>
      <w:tr w:rsidR="00E86C6B" w:rsidRPr="00C43A51" w14:paraId="63F4C903" w14:textId="77777777" w:rsidTr="00115061">
        <w:trPr>
          <w:trHeight w:val="20"/>
          <w:jc w:val="center"/>
        </w:trPr>
        <w:tc>
          <w:tcPr>
            <w:tcW w:w="1250" w:type="pct"/>
            <w:vMerge/>
            <w:hideMark/>
          </w:tcPr>
          <w:p w14:paraId="3C0E2812"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hideMark/>
          </w:tcPr>
          <w:p w14:paraId="0623FC8E"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Togo</w:t>
            </w:r>
          </w:p>
        </w:tc>
        <w:tc>
          <w:tcPr>
            <w:tcW w:w="986" w:type="pct"/>
            <w:hideMark/>
          </w:tcPr>
          <w:p w14:paraId="2D9C880A"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6</w:t>
            </w:r>
          </w:p>
        </w:tc>
        <w:tc>
          <w:tcPr>
            <w:tcW w:w="1197" w:type="pct"/>
            <w:hideMark/>
          </w:tcPr>
          <w:p w14:paraId="691BA0CD"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1.1</w:t>
            </w:r>
          </w:p>
        </w:tc>
      </w:tr>
      <w:tr w:rsidR="00E86C6B" w:rsidRPr="00C43A51" w14:paraId="4D40F9B8" w14:textId="77777777" w:rsidTr="00B90ABC">
        <w:trPr>
          <w:trHeight w:val="20"/>
          <w:jc w:val="center"/>
        </w:trPr>
        <w:tc>
          <w:tcPr>
            <w:tcW w:w="1250" w:type="pct"/>
            <w:vMerge/>
            <w:tcBorders>
              <w:bottom w:val="single" w:sz="4" w:space="0" w:color="auto"/>
            </w:tcBorders>
            <w:hideMark/>
          </w:tcPr>
          <w:p w14:paraId="40D0718D"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p>
        </w:tc>
        <w:tc>
          <w:tcPr>
            <w:tcW w:w="1567" w:type="pct"/>
            <w:tcBorders>
              <w:bottom w:val="single" w:sz="4" w:space="0" w:color="auto"/>
            </w:tcBorders>
            <w:hideMark/>
          </w:tcPr>
          <w:p w14:paraId="17A0F28F" w14:textId="77777777" w:rsidR="00E86C6B" w:rsidRPr="00C43A51" w:rsidRDefault="00E86C6B" w:rsidP="00C43A51">
            <w:pPr>
              <w:spacing w:after="0" w:line="240" w:lineRule="auto"/>
              <w:ind w:left="0" w:firstLine="0"/>
              <w:jc w:val="left"/>
              <w:rPr>
                <w:rFonts w:eastAsia="Times New Roman" w:cs="Calibri"/>
                <w:kern w:val="0"/>
                <w:sz w:val="18"/>
                <w:szCs w:val="18"/>
                <w14:ligatures w14:val="none"/>
              </w:rPr>
            </w:pPr>
            <w:r w:rsidRPr="00C43A51">
              <w:rPr>
                <w:rFonts w:eastAsia="Times New Roman" w:cs="Calibri"/>
                <w:kern w:val="0"/>
                <w:sz w:val="18"/>
                <w14:ligatures w14:val="none"/>
              </w:rPr>
              <w:t>Zambia</w:t>
            </w:r>
          </w:p>
        </w:tc>
        <w:tc>
          <w:tcPr>
            <w:tcW w:w="986" w:type="pct"/>
            <w:tcBorders>
              <w:bottom w:val="single" w:sz="4" w:space="0" w:color="auto"/>
            </w:tcBorders>
            <w:hideMark/>
          </w:tcPr>
          <w:p w14:paraId="1486249B"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9</w:t>
            </w:r>
          </w:p>
        </w:tc>
        <w:tc>
          <w:tcPr>
            <w:tcW w:w="1197" w:type="pct"/>
            <w:tcBorders>
              <w:bottom w:val="single" w:sz="4" w:space="0" w:color="auto"/>
            </w:tcBorders>
            <w:hideMark/>
          </w:tcPr>
          <w:p w14:paraId="7936FAD0" w14:textId="77777777" w:rsidR="00E86C6B" w:rsidRPr="00C43A51" w:rsidRDefault="00E86C6B" w:rsidP="00C43A51">
            <w:pPr>
              <w:spacing w:after="0" w:line="240" w:lineRule="auto"/>
              <w:ind w:left="0" w:firstLine="0"/>
              <w:jc w:val="center"/>
              <w:rPr>
                <w:rFonts w:eastAsia="Times New Roman" w:cs="Calibri"/>
                <w:kern w:val="0"/>
                <w:sz w:val="18"/>
                <w:szCs w:val="18"/>
                <w14:ligatures w14:val="none"/>
              </w:rPr>
            </w:pPr>
            <w:r w:rsidRPr="00C43A51">
              <w:rPr>
                <w:rFonts w:eastAsia="Times New Roman" w:cs="Calibri"/>
                <w:kern w:val="0"/>
                <w:sz w:val="18"/>
                <w14:ligatures w14:val="none"/>
              </w:rPr>
              <w:t>1.7</w:t>
            </w:r>
          </w:p>
        </w:tc>
      </w:tr>
      <w:tr w:rsidR="006A44EB" w:rsidRPr="00C43A51" w14:paraId="37CDD2FF" w14:textId="77777777" w:rsidTr="00E86C6B">
        <w:trPr>
          <w:trHeight w:val="20"/>
          <w:jc w:val="center"/>
        </w:trPr>
        <w:tc>
          <w:tcPr>
            <w:tcW w:w="1250" w:type="pct"/>
            <w:tcBorders>
              <w:top w:val="single" w:sz="4" w:space="0" w:color="auto"/>
              <w:bottom w:val="single" w:sz="4" w:space="0" w:color="auto"/>
            </w:tcBorders>
          </w:tcPr>
          <w:p w14:paraId="6131B121" w14:textId="3BC0A3C3" w:rsidR="00E86C6B" w:rsidRPr="00C43A51" w:rsidRDefault="00E86C6B" w:rsidP="00C43A51">
            <w:pPr>
              <w:spacing w:after="0" w:line="240" w:lineRule="auto"/>
              <w:ind w:left="0" w:firstLine="0"/>
              <w:jc w:val="left"/>
              <w:rPr>
                <w:rFonts w:eastAsia="Times New Roman" w:cs="Calibri"/>
                <w:kern w:val="0"/>
                <w:sz w:val="18"/>
                <w:szCs w:val="18"/>
                <w14:ligatures w14:val="none"/>
              </w:rPr>
            </w:pPr>
            <w:r>
              <w:rPr>
                <w:rFonts w:eastAsia="Times New Roman" w:cs="Calibri"/>
                <w:kern w:val="0"/>
                <w:sz w:val="18"/>
                <w:szCs w:val="18"/>
                <w14:ligatures w14:val="none"/>
              </w:rPr>
              <w:t>Overall</w:t>
            </w:r>
          </w:p>
        </w:tc>
        <w:tc>
          <w:tcPr>
            <w:tcW w:w="1567" w:type="pct"/>
            <w:tcBorders>
              <w:top w:val="single" w:sz="4" w:space="0" w:color="auto"/>
              <w:bottom w:val="single" w:sz="4" w:space="0" w:color="auto"/>
            </w:tcBorders>
          </w:tcPr>
          <w:p w14:paraId="4A653B85" w14:textId="77777777" w:rsidR="00E86C6B" w:rsidRPr="00C43A51" w:rsidRDefault="00E86C6B" w:rsidP="00C43A51">
            <w:pPr>
              <w:spacing w:after="0" w:line="240" w:lineRule="auto"/>
              <w:ind w:left="0" w:firstLine="0"/>
              <w:jc w:val="left"/>
              <w:rPr>
                <w:rFonts w:eastAsia="Times New Roman" w:cs="Calibri"/>
                <w:kern w:val="0"/>
                <w:sz w:val="18"/>
                <w14:ligatures w14:val="none"/>
              </w:rPr>
            </w:pPr>
          </w:p>
        </w:tc>
        <w:tc>
          <w:tcPr>
            <w:tcW w:w="986" w:type="pct"/>
            <w:tcBorders>
              <w:top w:val="single" w:sz="4" w:space="0" w:color="auto"/>
              <w:bottom w:val="single" w:sz="4" w:space="0" w:color="auto"/>
            </w:tcBorders>
          </w:tcPr>
          <w:p w14:paraId="28A932D0" w14:textId="7761CA14" w:rsidR="00E86C6B" w:rsidRPr="00C43A51" w:rsidRDefault="00E86C6B" w:rsidP="00C43A51">
            <w:pPr>
              <w:spacing w:after="0" w:line="240" w:lineRule="auto"/>
              <w:ind w:left="0" w:firstLine="0"/>
              <w:jc w:val="center"/>
              <w:rPr>
                <w:rFonts w:eastAsia="Times New Roman" w:cs="Calibri"/>
                <w:kern w:val="0"/>
                <w:sz w:val="18"/>
                <w14:ligatures w14:val="none"/>
              </w:rPr>
            </w:pPr>
            <w:r>
              <w:rPr>
                <w:rFonts w:eastAsia="Times New Roman" w:cs="Calibri"/>
                <w:kern w:val="0"/>
                <w:sz w:val="18"/>
                <w14:ligatures w14:val="none"/>
              </w:rPr>
              <w:t>54</w:t>
            </w:r>
            <w:r w:rsidR="00F62BF8">
              <w:rPr>
                <w:rFonts w:eastAsia="Times New Roman" w:cs="Calibri"/>
                <w:kern w:val="0"/>
                <w:sz w:val="18"/>
                <w14:ligatures w14:val="none"/>
              </w:rPr>
              <w:t>5</w:t>
            </w:r>
          </w:p>
        </w:tc>
        <w:tc>
          <w:tcPr>
            <w:tcW w:w="1197" w:type="pct"/>
            <w:tcBorders>
              <w:top w:val="single" w:sz="4" w:space="0" w:color="auto"/>
              <w:bottom w:val="single" w:sz="4" w:space="0" w:color="auto"/>
            </w:tcBorders>
          </w:tcPr>
          <w:p w14:paraId="7E0F12B3" w14:textId="4A149501" w:rsidR="00E86C6B" w:rsidRPr="00C43A51" w:rsidRDefault="00E86C6B" w:rsidP="00C43A51">
            <w:pPr>
              <w:spacing w:after="0" w:line="240" w:lineRule="auto"/>
              <w:ind w:left="0" w:firstLine="0"/>
              <w:jc w:val="center"/>
              <w:rPr>
                <w:rFonts w:eastAsia="Times New Roman" w:cs="Calibri"/>
                <w:kern w:val="0"/>
                <w:sz w:val="18"/>
                <w14:ligatures w14:val="none"/>
              </w:rPr>
            </w:pPr>
            <w:r>
              <w:rPr>
                <w:rFonts w:eastAsia="Times New Roman" w:cs="Calibri"/>
                <w:kern w:val="0"/>
                <w:sz w:val="18"/>
                <w14:ligatures w14:val="none"/>
              </w:rPr>
              <w:t>100</w:t>
            </w:r>
          </w:p>
        </w:tc>
      </w:tr>
    </w:tbl>
    <w:p w14:paraId="69BF7AEF" w14:textId="34F01DF6" w:rsidR="00F5687E" w:rsidRPr="00C545AA" w:rsidRDefault="003A130B">
      <w:pPr>
        <w:spacing w:after="13" w:line="271" w:lineRule="auto"/>
        <w:rPr>
          <w:color w:val="auto"/>
        </w:rPr>
      </w:pPr>
      <w:bookmarkStart w:id="10" w:name="_Hlk189179094"/>
      <w:r>
        <w:rPr>
          <w:sz w:val="18"/>
        </w:rPr>
        <w:t xml:space="preserve">Source: </w:t>
      </w:r>
      <w:r w:rsidR="00B17D74" w:rsidRPr="00C545AA">
        <w:rPr>
          <w:color w:val="auto"/>
          <w:sz w:val="18"/>
        </w:rPr>
        <w:t>Authors’ elaboration on data from the Minnesota Population Center (2020) via IPUMS International, and Raleigh, Kishi, and Linke (2023) via ACLED</w:t>
      </w:r>
      <w:bookmarkEnd w:id="10"/>
    </w:p>
    <w:p w14:paraId="45661C68" w14:textId="77777777" w:rsidR="00CE556C" w:rsidRDefault="00CE556C">
      <w:pPr>
        <w:spacing w:after="262"/>
        <w:ind w:left="-15" w:firstLine="339"/>
      </w:pPr>
    </w:p>
    <w:p w14:paraId="1FF471DF" w14:textId="53C87F3F" w:rsidR="00F5687E" w:rsidRDefault="003A130B">
      <w:pPr>
        <w:spacing w:after="262"/>
        <w:ind w:left="-15" w:firstLine="339"/>
      </w:pPr>
      <w:r>
        <w:t xml:space="preserve">Regions in Latin American countries (LAC), on the other hand, are overrepresented at the bottom of the effectiveness of </w:t>
      </w:r>
      <w:r w:rsidR="00976C56">
        <w:t xml:space="preserve">States </w:t>
      </w:r>
      <w:r>
        <w:t>in curbing violence. They are 5</w:t>
      </w:r>
      <w:r w:rsidR="008243BF">
        <w:t>3</w:t>
      </w:r>
      <w:r>
        <w:t>% of the total regions in our sample, but make up 80% of the regions in the bottom effectiveness decile for security. In 2023, the regions of Alagoas, Amazonas, Bahia, Minas Gerais, Par</w:t>
      </w:r>
      <w:r w:rsidR="00626F33">
        <w:t>á</w:t>
      </w:r>
      <w:r>
        <w:t xml:space="preserve">, Pernambuco, Rio de Janeiro, </w:t>
      </w:r>
      <w:r w:rsidR="00D45853">
        <w:t>São</w:t>
      </w:r>
      <w:r>
        <w:t xml:space="preserve"> Paulo in Brazil, Cauca in Colombia, West in Haiti, Guanajuato, Guerrero, Michoac</w:t>
      </w:r>
      <w:r w:rsidR="00626F33">
        <w:t>á</w:t>
      </w:r>
      <w:r>
        <w:t>n de Ocampo, Nuevo Le</w:t>
      </w:r>
      <w:r w:rsidR="00626F33">
        <w:t>ó</w:t>
      </w:r>
      <w:r>
        <w:t>n, Veracruz de Ignacio de la Llave in Mexico were interested by at least one episode of violence each day.</w:t>
      </w:r>
    </w:p>
    <w:p w14:paraId="7FC139B8" w14:textId="1E06390D" w:rsidR="00F5687E" w:rsidRDefault="003A130B">
      <w:pPr>
        <w:spacing w:after="261"/>
        <w:ind w:left="-15" w:firstLine="339"/>
      </w:pPr>
      <w:r>
        <w:t>East Asia and Pacific (EAP) regions are the majority (</w:t>
      </w:r>
      <w:r w:rsidR="008474B9">
        <w:t>49</w:t>
      </w:r>
      <w:r>
        <w:t xml:space="preserve">%) of observations found in the first decile of the effectiveness distribution for basic service delivery, water, in spite of representing just </w:t>
      </w:r>
      <w:r w:rsidR="008243BF">
        <w:t>7.7</w:t>
      </w:r>
      <w:r>
        <w:t>% of total regions in the sample.</w:t>
      </w:r>
    </w:p>
    <w:p w14:paraId="32D05383" w14:textId="132E013C" w:rsidR="00F5687E" w:rsidRDefault="003A130B">
      <w:pPr>
        <w:spacing w:after="262"/>
        <w:ind w:left="-15" w:firstLine="339"/>
      </w:pPr>
      <w:r>
        <w:lastRenderedPageBreak/>
        <w:t>Some countries display quite homogenous effectiveness across regions and dimensions. The extreme and only example of its kind is the region of Heredia, in Costa Rica (LAC) which belongs to the 10th decile (best effectiveness) in all dimensions considered</w:t>
      </w:r>
      <w:r w:rsidR="007B46B5">
        <w:t xml:space="preserve"> (see </w:t>
      </w:r>
      <w:r w:rsidR="0083118C">
        <w:t xml:space="preserve">Appendix, </w:t>
      </w:r>
      <w:r w:rsidR="007B46B5">
        <w:t xml:space="preserve">Figure </w:t>
      </w:r>
      <w:r w:rsidR="00E40F4B">
        <w:t>A.1</w:t>
      </w:r>
      <w:r w:rsidR="007B46B5">
        <w:t>)</w:t>
      </w:r>
      <w:r>
        <w:t>. On the opposite side of the spectrum, the regions of S</w:t>
      </w:r>
      <w:r w:rsidR="00FF25E5">
        <w:t>é</w:t>
      </w:r>
      <w:r>
        <w:t xml:space="preserve">gou in Mali (SSA), and Cabo Delgado in Mozambique (SSA) belong to the worse decile in all dimensions but, respectively, </w:t>
      </w:r>
      <w:r w:rsidR="00B13F63">
        <w:t>b</w:t>
      </w:r>
      <w:r>
        <w:t xml:space="preserve">asic </w:t>
      </w:r>
      <w:r w:rsidR="00B13F63">
        <w:t>s</w:t>
      </w:r>
      <w:r>
        <w:t xml:space="preserve">ervices, </w:t>
      </w:r>
      <w:r w:rsidR="00B13F63">
        <w:t>e</w:t>
      </w:r>
      <w:r>
        <w:t xml:space="preserve">lectricity and </w:t>
      </w:r>
      <w:r w:rsidR="00B13F63">
        <w:t>b</w:t>
      </w:r>
      <w:r>
        <w:t xml:space="preserve">asic </w:t>
      </w:r>
      <w:r w:rsidR="00B13F63">
        <w:t>s</w:t>
      </w:r>
      <w:r>
        <w:t xml:space="preserve">ervices, </w:t>
      </w:r>
      <w:r w:rsidR="00FA53BE">
        <w:t>w</w:t>
      </w:r>
      <w:r>
        <w:t>ater, where they belong to the second decile</w:t>
      </w:r>
      <w:r w:rsidR="007B46B5">
        <w:t xml:space="preserve"> (</w:t>
      </w:r>
      <w:r w:rsidR="00357FBF">
        <w:t>see Appendix, Figure</w:t>
      </w:r>
      <w:r w:rsidR="00E40F4B">
        <w:t>s</w:t>
      </w:r>
      <w:r w:rsidR="00357FBF">
        <w:t xml:space="preserve"> </w:t>
      </w:r>
      <w:r w:rsidR="00E40F4B">
        <w:t>A.2 and A.3</w:t>
      </w:r>
      <w:r w:rsidR="007B46B5">
        <w:t>)</w:t>
      </w:r>
      <w:r>
        <w:t>. The region of Phnom Penh in Cambodia (EAP), performs above average in all five dimensions, being in the 9th decile of the distribution of health and basic services, electricity, in the 7-th decile of the distribution of education and water, and the 6-th decile for security. Similarly, the regions of Aragatsotn, Armavir, and Vayots Dzor in Armenia (ECA) are in the top 30% of the distribution for all five indicators</w:t>
      </w:r>
      <w:r w:rsidR="007B46B5">
        <w:t xml:space="preserve"> (</w:t>
      </w:r>
      <w:r w:rsidR="0083118C">
        <w:t xml:space="preserve">see Appendix, Figure </w:t>
      </w:r>
      <w:r w:rsidR="00E40F4B">
        <w:t>A.4</w:t>
      </w:r>
      <w:r w:rsidR="007B46B5">
        <w:t>)</w:t>
      </w:r>
      <w:r>
        <w:t>.</w:t>
      </w:r>
    </w:p>
    <w:p w14:paraId="5EDD957E" w14:textId="1172C035" w:rsidR="002E36F2" w:rsidRDefault="003A130B" w:rsidP="002E36F2">
      <w:pPr>
        <w:spacing w:after="322"/>
        <w:ind w:left="-15" w:firstLine="339"/>
      </w:pPr>
      <w:r>
        <w:t xml:space="preserve">Other regions display extreme trends. For instance, in Latin America, Rio Grande do Sul, Rio de Janeiro, and </w:t>
      </w:r>
      <w:r w:rsidR="00FF25E5">
        <w:t>São</w:t>
      </w:r>
      <w:r>
        <w:t xml:space="preserve"> Paulo in Brazil, and Baja California, Distrito Federal, and Nuevo </w:t>
      </w:r>
      <w:r w:rsidR="00ED545B" w:rsidRPr="00ED545B">
        <w:t>León</w:t>
      </w:r>
      <w:r w:rsidR="00ED545B" w:rsidRPr="00ED545B" w:rsidDel="00ED545B">
        <w:t xml:space="preserve"> </w:t>
      </w:r>
      <w:r>
        <w:t>in Mexico all perform in the top decile with respect to all indicators, with the exception of security, where they belong to the bottom decile</w:t>
      </w:r>
      <w:r w:rsidR="00560C7A">
        <w:t xml:space="preserve"> (see Appendix, Figure A.5)</w:t>
      </w:r>
      <w:r>
        <w:t>. In Middle East and North Africa (MNA), North Khorasan and South Khorasan in the Islamic Republic of Iran belong to the bottom decile for health, but are well above average in all other four indicators, and even in the top one with respect to security.</w:t>
      </w:r>
    </w:p>
    <w:p w14:paraId="65974391" w14:textId="77777777" w:rsidR="00F5687E" w:rsidRDefault="003A130B">
      <w:pPr>
        <w:pStyle w:val="Heading3"/>
        <w:spacing w:after="171"/>
        <w:ind w:left="752" w:hanging="767"/>
      </w:pPr>
      <w:r>
        <w:t>Density</w:t>
      </w:r>
    </w:p>
    <w:p w14:paraId="7707F301" w14:textId="75F5E3D2" w:rsidR="00F5687E" w:rsidRDefault="003A130B">
      <w:pPr>
        <w:spacing w:after="260"/>
        <w:ind w:left="-5"/>
      </w:pPr>
      <w:r>
        <w:t>As displayed in Figure 2</w:t>
      </w:r>
      <w:r w:rsidR="00B37953">
        <w:t xml:space="preserve"> and in Figure A.6, </w:t>
      </w:r>
      <w:r>
        <w:t>the density of the State can be quite different across regions in a country.</w:t>
      </w:r>
    </w:p>
    <w:p w14:paraId="07026BB2" w14:textId="66F20D5F" w:rsidR="00F5687E" w:rsidRDefault="003A130B">
      <w:pPr>
        <w:ind w:left="-15" w:firstLine="339"/>
      </w:pPr>
      <w:r>
        <w:t xml:space="preserve">The extreme case is Benin (SSA), which encompasses both a region in the top 20% of the density scale (Littoral) and </w:t>
      </w:r>
      <w:r w:rsidR="00C00D15">
        <w:t xml:space="preserve">two </w:t>
      </w:r>
      <w:r>
        <w:t>in the bottom 10% (Alibori</w:t>
      </w:r>
      <w:r w:rsidR="00C00D15">
        <w:t xml:space="preserve"> and Atacora</w:t>
      </w:r>
      <w:r>
        <w:t>).</w:t>
      </w:r>
    </w:p>
    <w:p w14:paraId="02EA48BC" w14:textId="6EF7E6A7" w:rsidR="00F5687E" w:rsidRDefault="002E36F2">
      <w:pPr>
        <w:spacing w:after="0" w:line="259" w:lineRule="auto"/>
        <w:ind w:left="323" w:firstLine="0"/>
        <w:jc w:val="left"/>
      </w:pPr>
      <w:r w:rsidRPr="002E36F2">
        <w:rPr>
          <w:noProof/>
        </w:rPr>
        <w:lastRenderedPageBreak/>
        <w:t xml:space="preserve"> </w:t>
      </w:r>
      <w:r w:rsidR="008A2287" w:rsidRPr="008A2287">
        <w:rPr>
          <w:noProof/>
        </w:rPr>
        <w:drawing>
          <wp:inline distT="0" distB="0" distL="0" distR="0" wp14:anchorId="3B72EA4D" wp14:editId="1CD4D55B">
            <wp:extent cx="5116152" cy="7430169"/>
            <wp:effectExtent l="0" t="0" r="0" b="0"/>
            <wp:docPr id="32308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81232" name=""/>
                    <pic:cNvPicPr/>
                  </pic:nvPicPr>
                  <pic:blipFill rotWithShape="1">
                    <a:blip r:embed="rId10"/>
                    <a:srcRect l="13474" t="12491" r="13639" b="5712"/>
                    <a:stretch/>
                  </pic:blipFill>
                  <pic:spPr bwMode="auto">
                    <a:xfrm>
                      <a:off x="0" y="0"/>
                      <a:ext cx="5132645" cy="7454122"/>
                    </a:xfrm>
                    <a:prstGeom prst="rect">
                      <a:avLst/>
                    </a:prstGeom>
                    <a:ln>
                      <a:noFill/>
                    </a:ln>
                    <a:extLst>
                      <a:ext uri="{53640926-AAD7-44D8-BBD7-CCE9431645EC}">
                        <a14:shadowObscured xmlns:a14="http://schemas.microsoft.com/office/drawing/2010/main"/>
                      </a:ext>
                    </a:extLst>
                  </pic:spPr>
                </pic:pic>
              </a:graphicData>
            </a:graphic>
          </wp:inline>
        </w:drawing>
      </w:r>
    </w:p>
    <w:p w14:paraId="70F50932" w14:textId="1652CDB7" w:rsidR="00F5687E" w:rsidRDefault="003A130B">
      <w:pPr>
        <w:spacing w:after="262"/>
        <w:ind w:left="-15" w:firstLine="339"/>
      </w:pPr>
      <w:r>
        <w:lastRenderedPageBreak/>
        <w:t>Colombia, Honduras, and Nicaragua in LAC, Lao PDR, and Cambodia in EAS, all display regions as far apart as seven deciles of the density distribution. In particular, both Colombia and Honduras have regions in the top 10% density distribution (</w:t>
      </w:r>
      <w:r w:rsidR="0049532D">
        <w:t>Quindío</w:t>
      </w:r>
      <w:r>
        <w:t xml:space="preserve"> and Bogot</w:t>
      </w:r>
      <w:r w:rsidR="0049532D">
        <w:t>á</w:t>
      </w:r>
      <w:r>
        <w:t>; and Islas de la Bah</w:t>
      </w:r>
      <w:r w:rsidR="00C64B45" w:rsidRPr="00C64B45">
        <w:t>ía</w:t>
      </w:r>
      <w:r>
        <w:t>, respectively), and some in the bottom third decile (Choc</w:t>
      </w:r>
      <w:r w:rsidR="003A7D9F">
        <w:t>ó</w:t>
      </w:r>
      <w:r>
        <w:t xml:space="preserve"> and Gracias a Dios, respectively); while Nicaragua and Cambodia have a region in the second highest decile (Managua; and Phnom Penh, respectively), and some in the bottom second decile (Atlantico Norte; and Preah Vihear, Kampong Thom, Ratanak Kiri, Mondul Kiri, Kampong Chhnang, respectively).</w:t>
      </w:r>
    </w:p>
    <w:p w14:paraId="036EA627" w14:textId="64235EB4" w:rsidR="00F5687E" w:rsidRDefault="003A130B">
      <w:pPr>
        <w:spacing w:after="288"/>
        <w:ind w:left="-15" w:firstLine="339"/>
      </w:pPr>
      <w:r>
        <w:t xml:space="preserve">On the opposite side of the spectrum, a few countries display quite a homogeneous density across countries. In Costa Rica (LAC), all seven regions are in the top 10% of the density distribution. In Armenia (ECA), all regions fall in the top decile of the density distribution, except Gegharkunik, which is in the 9th </w:t>
      </w:r>
      <w:r w:rsidR="00E603AE">
        <w:t>decile</w:t>
      </w:r>
      <w:r>
        <w:t>. In Haiti (LAC), all regions fall at the bottom of the density scale, except the region</w:t>
      </w:r>
      <w:r w:rsidR="00E603AE">
        <w:t>s</w:t>
      </w:r>
      <w:r>
        <w:t xml:space="preserve"> of </w:t>
      </w:r>
      <w:r w:rsidR="00E603AE">
        <w:t>North West and South</w:t>
      </w:r>
      <w:r>
        <w:t xml:space="preserve">, which </w:t>
      </w:r>
      <w:r w:rsidR="00E603AE">
        <w:t>are</w:t>
      </w:r>
      <w:r>
        <w:t xml:space="preserve"> in the second bottom decile.</w:t>
      </w:r>
      <w:r w:rsidR="00B37953">
        <w:t xml:space="preserve"> </w:t>
      </w:r>
    </w:p>
    <w:p w14:paraId="46E8C843" w14:textId="5A3A8C21" w:rsidR="00F5687E" w:rsidRDefault="00A31269">
      <w:pPr>
        <w:spacing w:after="269"/>
        <w:ind w:left="-15" w:firstLine="339"/>
      </w:pPr>
      <w:r>
        <w:t>As shown in Figure 3, adjusting the parameter θ primarily leads to only marginal shifts between adjacent deciles. 84 percent of regions do not change rank when θ changes from 0.5 to 1. Similarly,</w:t>
      </w:r>
      <w:r w:rsidR="00120708">
        <w:t xml:space="preserve"> the rank of</w:t>
      </w:r>
      <w:r>
        <w:t xml:space="preserve"> 80 percent of regions remain unchanged when the parameter is adjusted from 1 to </w:t>
      </w:r>
      <w:r w:rsidR="00120708">
        <w:t>2</w:t>
      </w:r>
      <w:r>
        <w:t xml:space="preserve">. </w:t>
      </w:r>
      <w:r w:rsidR="00120708">
        <w:t>Occasionally</w:t>
      </w:r>
      <w:r w:rsidR="003A130B">
        <w:t xml:space="preserve">, changes span across two deciles of the density distribution when </w:t>
      </w:r>
      <w:r w:rsidR="003A130B">
        <w:rPr>
          <w:i/>
        </w:rPr>
        <w:t xml:space="preserve">θ </w:t>
      </w:r>
      <w:r w:rsidR="003A130B">
        <w:t xml:space="preserve">is modified. Specifically, in Mexico (LAC), the </w:t>
      </w:r>
      <w:r w:rsidR="00976C56">
        <w:t>State</w:t>
      </w:r>
      <w:r w:rsidR="003A130B">
        <w:t>s of Guanajuato, and Nuevo Le</w:t>
      </w:r>
      <w:r w:rsidR="00A75D46">
        <w:t>ó</w:t>
      </w:r>
      <w:r w:rsidR="003A130B">
        <w:t xml:space="preserve">n, and in Brazil (LAC), the </w:t>
      </w:r>
      <w:r w:rsidR="00976C56">
        <w:t>State</w:t>
      </w:r>
      <w:r w:rsidR="003A130B">
        <w:t xml:space="preserve">s of Minas Gerais, </w:t>
      </w:r>
      <w:r>
        <w:t xml:space="preserve">Pará, </w:t>
      </w:r>
      <w:r w:rsidR="003A130B">
        <w:t xml:space="preserve">Rio de Janeiro, and </w:t>
      </w:r>
      <w:r w:rsidR="007F6AA3">
        <w:t>São</w:t>
      </w:r>
      <w:r w:rsidR="003A130B">
        <w:t xml:space="preserve"> Paulo, </w:t>
      </w:r>
      <w:r>
        <w:t xml:space="preserve">move up </w:t>
      </w:r>
      <w:r w:rsidR="003A130B">
        <w:t xml:space="preserve">by 2 deciles when </w:t>
      </w:r>
      <w:r w:rsidR="003A130B">
        <w:rPr>
          <w:i/>
        </w:rPr>
        <w:t xml:space="preserve">θ </w:t>
      </w:r>
      <w:r w:rsidR="003A130B">
        <w:t xml:space="preserve">is </w:t>
      </w:r>
      <w:r>
        <w:t xml:space="preserve">increased </w:t>
      </w:r>
      <w:r w:rsidR="003A130B">
        <w:t xml:space="preserve">from </w:t>
      </w:r>
      <w:r>
        <w:t>0.5</w:t>
      </w:r>
      <w:r w:rsidR="003A130B">
        <w:t xml:space="preserve"> to </w:t>
      </w:r>
      <w:r>
        <w:t>1</w:t>
      </w:r>
      <w:r w:rsidR="003A130B">
        <w:t xml:space="preserve">. </w:t>
      </w:r>
      <w:r w:rsidR="00120708">
        <w:t>Similarly</w:t>
      </w:r>
      <w:r w:rsidR="003A130B">
        <w:t>, Jalisco,</w:t>
      </w:r>
      <w:r w:rsidR="00120708" w:rsidRPr="00120708">
        <w:t xml:space="preserve"> </w:t>
      </w:r>
      <w:r w:rsidR="00120708">
        <w:t>Michoacán de Ocampo,</w:t>
      </w:r>
      <w:r w:rsidR="003A130B">
        <w:t xml:space="preserve"> Nuevo Le</w:t>
      </w:r>
      <w:r w:rsidR="007F6AA3">
        <w:t>ó</w:t>
      </w:r>
      <w:r w:rsidR="003A130B">
        <w:t>n</w:t>
      </w:r>
      <w:r w:rsidR="00120708">
        <w:t>, and Puebla</w:t>
      </w:r>
      <w:r w:rsidR="003A130B">
        <w:t xml:space="preserve"> in Mexico (LAC), as well as Rio de Janeiro and </w:t>
      </w:r>
      <w:r w:rsidR="00D61B9A">
        <w:t>São</w:t>
      </w:r>
      <w:r w:rsidR="003A130B">
        <w:t xml:space="preserve"> Paulo in Brazil (LAC), rise by 2 deciles when </w:t>
      </w:r>
      <w:r w:rsidR="003A130B">
        <w:rPr>
          <w:i/>
        </w:rPr>
        <w:t xml:space="preserve">θ </w:t>
      </w:r>
      <w:r w:rsidR="003A130B">
        <w:t>is increased from 1 to 2.</w:t>
      </w:r>
    </w:p>
    <w:p w14:paraId="6B577E9D" w14:textId="131EAF19" w:rsidR="00F5687E" w:rsidRDefault="003A130B">
      <w:pPr>
        <w:spacing w:after="321"/>
        <w:ind w:left="-15" w:firstLine="339"/>
      </w:pPr>
      <w:r>
        <w:t xml:space="preserve">Notably, in all these instances, the dimension of </w:t>
      </w:r>
      <w:r w:rsidR="00976C56">
        <w:t xml:space="preserve">State </w:t>
      </w:r>
      <w:r>
        <w:t xml:space="preserve">effectiveness driving the changes is security, where the normalized effectiveness score is zero or nearly zero in all regions. When the parameter </w:t>
      </w:r>
      <w:r>
        <w:rPr>
          <w:i/>
        </w:rPr>
        <w:t xml:space="preserve">θ </w:t>
      </w:r>
      <w:r>
        <w:t xml:space="preserve">is set to 2, allowing for greater substitution between dimensions, the poor performance in security becomes less significant, and the good performance in other dimensions carries more weight in determining the overall density. Conversely, when </w:t>
      </w:r>
      <w:r>
        <w:rPr>
          <w:i/>
        </w:rPr>
        <w:t xml:space="preserve">θ </w:t>
      </w:r>
      <w:r>
        <w:t>is decreased to 0.5, reducing substitutability across dimensions, strong performance in other areas cannot compensate for the severe lack of security in these regions.</w:t>
      </w:r>
    </w:p>
    <w:p w14:paraId="16A149CB" w14:textId="77777777" w:rsidR="00F5687E" w:rsidRDefault="003A130B">
      <w:pPr>
        <w:pStyle w:val="Heading3"/>
        <w:spacing w:after="171"/>
        <w:ind w:left="752" w:hanging="767"/>
      </w:pPr>
      <w:r>
        <w:t>Discontinuity</w:t>
      </w:r>
    </w:p>
    <w:p w14:paraId="334C28FF" w14:textId="21BBEF32" w:rsidR="002F2CC9" w:rsidRDefault="00B437E0" w:rsidP="00702979">
      <w:r w:rsidRPr="00B437E0">
        <w:t>As shown in Table 4 and Figure 4, Mali and Mozambique stand out as the two countries with the highest discontinuity. The precise ranking depends on the degree of substitutability across dimensions. When allowing for some complementarity (</w:t>
      </w:r>
      <w:r w:rsidRPr="00C545AA">
        <w:rPr>
          <w:i/>
          <w:iCs/>
        </w:rPr>
        <w:t>θ</w:t>
      </w:r>
      <w:r w:rsidRPr="00B437E0">
        <w:t xml:space="preserve"> = 0.5), Mali exhibits the greatest discontinuity, followed by Mozambique and Zambia.</w:t>
      </w:r>
      <w:r w:rsidR="003C112A">
        <w:t xml:space="preserve"> </w:t>
      </w:r>
      <w:r w:rsidR="003C112A" w:rsidRPr="003C112A">
        <w:t>However, as substitutability increases</w:t>
      </w:r>
      <w:r w:rsidRPr="00B437E0">
        <w:t xml:space="preserve"> (</w:t>
      </w:r>
      <w:r w:rsidRPr="00C545AA">
        <w:rPr>
          <w:i/>
          <w:iCs/>
        </w:rPr>
        <w:t>θ</w:t>
      </w:r>
      <w:r w:rsidRPr="00B437E0">
        <w:t xml:space="preserve"> = 1 and </w:t>
      </w:r>
      <w:r w:rsidRPr="00C545AA">
        <w:rPr>
          <w:i/>
          <w:iCs/>
        </w:rPr>
        <w:t>θ</w:t>
      </w:r>
      <w:r w:rsidRPr="00B437E0">
        <w:t xml:space="preserve"> = 2), Mali and Mozambique remain the top two, while Sudan becomes the third highest.</w:t>
      </w:r>
    </w:p>
    <w:p w14:paraId="792369E3" w14:textId="455D45C4" w:rsidR="002F2CC9" w:rsidRDefault="00BD278A" w:rsidP="00C545AA">
      <w:pPr>
        <w:jc w:val="center"/>
      </w:pPr>
      <w:r w:rsidRPr="00BD278A">
        <w:rPr>
          <w:noProof/>
        </w:rPr>
        <w:lastRenderedPageBreak/>
        <w:drawing>
          <wp:inline distT="0" distB="0" distL="0" distR="0" wp14:anchorId="4AD3ABEB" wp14:editId="05897C05">
            <wp:extent cx="3636660" cy="8368858"/>
            <wp:effectExtent l="0" t="0" r="0" b="0"/>
            <wp:docPr id="1619773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3506" name=""/>
                    <pic:cNvPicPr/>
                  </pic:nvPicPr>
                  <pic:blipFill rotWithShape="1">
                    <a:blip r:embed="rId11"/>
                    <a:srcRect l="30026" t="11203" r="29551" b="16916"/>
                    <a:stretch/>
                  </pic:blipFill>
                  <pic:spPr bwMode="auto">
                    <a:xfrm>
                      <a:off x="0" y="0"/>
                      <a:ext cx="3648079" cy="8395137"/>
                    </a:xfrm>
                    <a:prstGeom prst="rect">
                      <a:avLst/>
                    </a:prstGeom>
                    <a:ln>
                      <a:noFill/>
                    </a:ln>
                    <a:extLst>
                      <a:ext uri="{53640926-AAD7-44D8-BBD7-CCE9431645EC}">
                        <a14:shadowObscured xmlns:a14="http://schemas.microsoft.com/office/drawing/2010/main"/>
                      </a:ext>
                    </a:extLst>
                  </pic:spPr>
                </pic:pic>
              </a:graphicData>
            </a:graphic>
          </wp:inline>
        </w:drawing>
      </w:r>
    </w:p>
    <w:p w14:paraId="46201426" w14:textId="77777777" w:rsidR="00F5687E" w:rsidRDefault="00F5687E">
      <w:pPr>
        <w:spacing w:after="0" w:line="259" w:lineRule="auto"/>
        <w:ind w:left="2018" w:firstLine="0"/>
        <w:jc w:val="left"/>
      </w:pPr>
    </w:p>
    <w:p w14:paraId="57B1DF01" w14:textId="77777777" w:rsidR="00F5687E" w:rsidRDefault="003A130B">
      <w:pPr>
        <w:spacing w:after="0" w:line="259" w:lineRule="auto"/>
        <w:ind w:right="6"/>
        <w:jc w:val="center"/>
      </w:pPr>
      <w:r>
        <w:t xml:space="preserve">Figure 3: Churning across deciles of the density distribution, for different values of </w:t>
      </w:r>
      <w:r>
        <w:rPr>
          <w:i/>
        </w:rPr>
        <w:t>θ</w:t>
      </w:r>
    </w:p>
    <w:p w14:paraId="5DC5041A" w14:textId="757181D3" w:rsidR="00F5687E" w:rsidRDefault="00606298">
      <w:pPr>
        <w:spacing w:after="95" w:line="259" w:lineRule="auto"/>
        <w:ind w:left="1290" w:firstLine="0"/>
        <w:jc w:val="left"/>
      </w:pPr>
      <w:r>
        <w:rPr>
          <w:noProof/>
        </w:rPr>
        <w:drawing>
          <wp:inline distT="0" distB="0" distL="0" distR="0" wp14:anchorId="5FB97091" wp14:editId="60CA8392">
            <wp:extent cx="4057650" cy="3683000"/>
            <wp:effectExtent l="0" t="0" r="0" b="0"/>
            <wp:docPr id="115438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87359" name="Picture 1154387359"/>
                    <pic:cNvPicPr/>
                  </pic:nvPicPr>
                  <pic:blipFill rotWithShape="1">
                    <a:blip r:embed="rId12" cstate="print">
                      <a:extLst>
                        <a:ext uri="{28A0092B-C50C-407E-A947-70E740481C1C}">
                          <a14:useLocalDpi xmlns:a14="http://schemas.microsoft.com/office/drawing/2010/main" val="0"/>
                        </a:ext>
                      </a:extLst>
                    </a:blip>
                    <a:srcRect l="12255" t="4012" r="13166" b="2905"/>
                    <a:stretch/>
                  </pic:blipFill>
                  <pic:spPr bwMode="auto">
                    <a:xfrm>
                      <a:off x="0" y="0"/>
                      <a:ext cx="4057650" cy="3683000"/>
                    </a:xfrm>
                    <a:prstGeom prst="rect">
                      <a:avLst/>
                    </a:prstGeom>
                    <a:ln>
                      <a:noFill/>
                    </a:ln>
                    <a:extLst>
                      <a:ext uri="{53640926-AAD7-44D8-BBD7-CCE9431645EC}">
                        <a14:shadowObscured xmlns:a14="http://schemas.microsoft.com/office/drawing/2010/main"/>
                      </a:ext>
                    </a:extLst>
                  </pic:spPr>
                </pic:pic>
              </a:graphicData>
            </a:graphic>
          </wp:inline>
        </w:drawing>
      </w:r>
    </w:p>
    <w:p w14:paraId="6A18FC04" w14:textId="192DEED1" w:rsidR="00670D05" w:rsidRDefault="009D78F6" w:rsidP="00670D05">
      <w:pPr>
        <w:spacing w:after="434" w:line="259" w:lineRule="auto"/>
        <w:ind w:left="0" w:firstLine="0"/>
      </w:pPr>
      <w:r w:rsidRPr="009D78F6">
        <w:rPr>
          <w:sz w:val="18"/>
        </w:rPr>
        <w:t>Source: Authors’ elaboration on data from the Minnesota Population Center (2020) via IPUMS International, and Raleigh, Kishi, and Linke (2023) via ACLED</w:t>
      </w:r>
    </w:p>
    <w:p w14:paraId="50F6AE0C" w14:textId="45E7D667" w:rsidR="00F5687E" w:rsidRDefault="003A130B" w:rsidP="00115061">
      <w:pPr>
        <w:spacing w:after="434" w:line="259" w:lineRule="auto"/>
        <w:ind w:left="0" w:firstLine="0"/>
      </w:pPr>
      <w:r>
        <w:t xml:space="preserve">The ten countries with the highest discontinuity are all in South Saharan Africa, with the exception of Nicaragua, when </w:t>
      </w:r>
      <w:r>
        <w:rPr>
          <w:i/>
        </w:rPr>
        <w:t xml:space="preserve">θ </w:t>
      </w:r>
      <w:r>
        <w:t xml:space="preserve">= 2. Costa Rica, Armenia, and Venezuela, RB are instead the countries with the least discontinuity, and ranking is not affected by the choice of the parameter </w:t>
      </w:r>
      <w:r>
        <w:rPr>
          <w:i/>
        </w:rPr>
        <w:t>θ</w:t>
      </w:r>
      <w:r>
        <w:t>.</w:t>
      </w:r>
    </w:p>
    <w:p w14:paraId="227FF095" w14:textId="122F9734" w:rsidR="00F5687E" w:rsidRDefault="003A130B">
      <w:pPr>
        <w:ind w:left="-15" w:firstLine="339"/>
      </w:pPr>
      <w:r>
        <w:t>The choice of the degree of substitutability/complementarity among dimensions is not trivial, as the ranking across countries may change substantially</w:t>
      </w:r>
      <w:r w:rsidR="00670D05">
        <w:t xml:space="preserve">, as it is displayed in Figure 4. For instance, in Sierra Leone </w:t>
      </w:r>
      <w:r w:rsidR="00AE6447">
        <w:t>improves</w:t>
      </w:r>
      <w:r w:rsidR="00670D05">
        <w:t xml:space="preserve"> 10 positions when increasing the degree of substitutability among dimensions.</w:t>
      </w:r>
      <w:r w:rsidR="001312D2" w:rsidRPr="001312D2">
        <w:t xml:space="preserve"> Similarly, Brazil, Mexico, and Zambia show some improvement with higher substitutability</w:t>
      </w:r>
      <w:r w:rsidR="001312D2">
        <w:t>.</w:t>
      </w:r>
      <w:r w:rsidR="00AE6447">
        <w:t xml:space="preserve"> When </w:t>
      </w:r>
      <w:r w:rsidR="00AE6447">
        <w:rPr>
          <w:i/>
        </w:rPr>
        <w:t xml:space="preserve">θ </w:t>
      </w:r>
      <w:r w:rsidR="00AE6447">
        <w:t>= 0.5, the better performance in some of the dimensions cannot easily compensate for a very bad performance in other dimensions. Therefore, a country like Brazil, where many regions display a very low degree of security, despite relatively good performance under different aspects, looks overall worse when considering dimensions as complements (</w:t>
      </w:r>
      <w:r w:rsidR="00AE6447">
        <w:rPr>
          <w:i/>
        </w:rPr>
        <w:t xml:space="preserve">θ </w:t>
      </w:r>
      <w:r w:rsidR="00AE6447">
        <w:t>= 0.5) rather than substitutes (</w:t>
      </w:r>
      <w:r w:rsidR="00AE6447">
        <w:rPr>
          <w:i/>
        </w:rPr>
        <w:t xml:space="preserve">θ </w:t>
      </w:r>
      <w:r w:rsidR="00AE6447">
        <w:t xml:space="preserve">= 1 or </w:t>
      </w:r>
      <w:r w:rsidR="00AE6447">
        <w:rPr>
          <w:i/>
        </w:rPr>
        <w:t xml:space="preserve">θ </w:t>
      </w:r>
      <w:r w:rsidR="00AE6447">
        <w:t xml:space="preserve">= 2). </w:t>
      </w:r>
    </w:p>
    <w:p w14:paraId="213D3F06" w14:textId="25C89E78" w:rsidR="00670D05" w:rsidRDefault="00670D05">
      <w:pPr>
        <w:spacing w:after="0" w:line="240" w:lineRule="auto"/>
        <w:ind w:left="0" w:firstLine="0"/>
        <w:jc w:val="left"/>
      </w:pPr>
      <w:r>
        <w:br w:type="page"/>
      </w:r>
    </w:p>
    <w:p w14:paraId="1469EEF0" w14:textId="77777777" w:rsidR="008C5A17" w:rsidRDefault="008C5A17">
      <w:pPr>
        <w:ind w:left="774"/>
      </w:pPr>
    </w:p>
    <w:p w14:paraId="3F001726" w14:textId="77777777" w:rsidR="00F5687E" w:rsidRDefault="003A130B">
      <w:pPr>
        <w:ind w:left="774"/>
      </w:pPr>
      <w:r>
        <w:t xml:space="preserve">Figure 4: Rank of countries in order of Discontinuity, different values of </w:t>
      </w:r>
      <w:r>
        <w:rPr>
          <w:i/>
        </w:rPr>
        <w:t>θ</w:t>
      </w:r>
    </w:p>
    <w:p w14:paraId="0184DBDC" w14:textId="46C8601C" w:rsidR="008C5A17" w:rsidRDefault="008C3ECD">
      <w:pPr>
        <w:spacing w:after="0" w:line="259" w:lineRule="auto"/>
        <w:ind w:left="1005" w:firstLine="0"/>
        <w:jc w:val="left"/>
      </w:pPr>
      <w:r w:rsidRPr="008C3ECD">
        <w:rPr>
          <w:noProof/>
        </w:rPr>
        <w:drawing>
          <wp:inline distT="0" distB="0" distL="0" distR="0" wp14:anchorId="2AD45057" wp14:editId="4D83BABE">
            <wp:extent cx="3587079" cy="3434235"/>
            <wp:effectExtent l="0" t="0" r="0" b="0"/>
            <wp:docPr id="116722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7718" name=""/>
                    <pic:cNvPicPr/>
                  </pic:nvPicPr>
                  <pic:blipFill rotWithShape="1">
                    <a:blip r:embed="rId13"/>
                    <a:srcRect l="16379" t="3054" r="12282" b="3035"/>
                    <a:stretch/>
                  </pic:blipFill>
                  <pic:spPr bwMode="auto">
                    <a:xfrm>
                      <a:off x="0" y="0"/>
                      <a:ext cx="3587778" cy="3434904"/>
                    </a:xfrm>
                    <a:prstGeom prst="rect">
                      <a:avLst/>
                    </a:prstGeom>
                    <a:ln>
                      <a:noFill/>
                    </a:ln>
                    <a:extLst>
                      <a:ext uri="{53640926-AAD7-44D8-BBD7-CCE9431645EC}">
                        <a14:shadowObscured xmlns:a14="http://schemas.microsoft.com/office/drawing/2010/main"/>
                      </a:ext>
                    </a:extLst>
                  </pic:spPr>
                </pic:pic>
              </a:graphicData>
            </a:graphic>
          </wp:inline>
        </w:drawing>
      </w:r>
    </w:p>
    <w:p w14:paraId="43E5D3B3" w14:textId="77777777" w:rsidR="007E7BF0" w:rsidRDefault="008C3ECD" w:rsidP="00C545AA">
      <w:pPr>
        <w:spacing w:after="0" w:line="259" w:lineRule="auto"/>
        <w:ind w:left="0" w:firstLine="0"/>
      </w:pPr>
      <w:r w:rsidRPr="009D78F6">
        <w:rPr>
          <w:sz w:val="18"/>
        </w:rPr>
        <w:t>Source: Authors’ elaboration on data from the Minnesota Population Center (2020) via IPUMS International, and Raleigh, Kishi, and Linke (2023) via ACLED</w:t>
      </w:r>
      <w:r>
        <w:t xml:space="preserve">. </w:t>
      </w:r>
    </w:p>
    <w:p w14:paraId="60F32C3C" w14:textId="051DE723" w:rsidR="008C5A17" w:rsidRDefault="008C3ECD" w:rsidP="00C545AA">
      <w:pPr>
        <w:spacing w:after="434" w:line="259" w:lineRule="auto"/>
        <w:ind w:left="0" w:firstLine="0"/>
      </w:pPr>
      <w:r w:rsidRPr="00C545AA">
        <w:rPr>
          <w:sz w:val="18"/>
        </w:rPr>
        <w:t>Note</w:t>
      </w:r>
      <w:r>
        <w:rPr>
          <w:sz w:val="18"/>
        </w:rPr>
        <w:t xml:space="preserve">: countries are ranked from 1-maximum discontinuity to 32-minimum discontinuity. </w:t>
      </w:r>
    </w:p>
    <w:p w14:paraId="334A7B61" w14:textId="6738D6BF" w:rsidR="00EC0E9C" w:rsidRDefault="00D74E07" w:rsidP="00D74E07">
      <w:pPr>
        <w:spacing w:after="0" w:line="240" w:lineRule="auto"/>
        <w:ind w:left="0" w:firstLine="0"/>
      </w:pPr>
      <w:r>
        <w:t xml:space="preserve">The choice of dimensions of </w:t>
      </w:r>
      <w:r w:rsidR="00976C56">
        <w:t>State</w:t>
      </w:r>
      <w:r>
        <w:t xml:space="preserve"> intervention may have a great influence in determining the overall discontinuity index of a country. As a robustness check, we re-computed the index by removing one dimension at the time (see </w:t>
      </w:r>
      <w:r w:rsidR="00EC0E9C">
        <w:t xml:space="preserve">Figure 5, and </w:t>
      </w:r>
      <w:r>
        <w:t xml:space="preserve">Appendix, Table </w:t>
      </w:r>
      <w:r w:rsidR="00EC0E9C">
        <w:t>A.3</w:t>
      </w:r>
      <w:r>
        <w:t xml:space="preserve">). </w:t>
      </w:r>
      <w:r w:rsidR="00EC0E9C">
        <w:t xml:space="preserve">For a few countries the set of </w:t>
      </w:r>
      <w:r w:rsidR="008F3F2D">
        <w:t>dimensions included in the analysis does not have an impact on the overall rank. Costa Rica and Armenia show the lowest discontinuity index irrespective of the excluded dimension and degree of substitutability. For other countries, some dimensions have a larger impact on their overall rank. Mexico</w:t>
      </w:r>
      <w:r w:rsidR="0043573D">
        <w:t xml:space="preserve"> and Brazil</w:t>
      </w:r>
      <w:r w:rsidR="008F3F2D">
        <w:t>, for instance, would appear much better in the cross-country comparison if security would not be included</w:t>
      </w:r>
      <w:r w:rsidR="0043573D">
        <w:t xml:space="preserve"> in the analysis.</w:t>
      </w:r>
    </w:p>
    <w:p w14:paraId="0D266D9F" w14:textId="77777777" w:rsidR="00EC0E9C" w:rsidRDefault="00EC0E9C" w:rsidP="00D74E07">
      <w:pPr>
        <w:spacing w:after="0" w:line="240" w:lineRule="auto"/>
        <w:ind w:left="0" w:firstLine="0"/>
      </w:pPr>
    </w:p>
    <w:p w14:paraId="69092EEB" w14:textId="77777777" w:rsidR="00E11EE0" w:rsidRDefault="00E11EE0" w:rsidP="00D74E07">
      <w:pPr>
        <w:spacing w:after="0" w:line="240" w:lineRule="auto"/>
        <w:ind w:left="0" w:firstLine="0"/>
        <w:sectPr w:rsidR="00E11EE0">
          <w:footerReference w:type="even" r:id="rId14"/>
          <w:footerReference w:type="default" r:id="rId15"/>
          <w:footerReference w:type="first" r:id="rId16"/>
          <w:pgSz w:w="12240" w:h="15840"/>
          <w:pgMar w:top="1088" w:right="1836" w:bottom="2807" w:left="1836" w:header="720" w:footer="2211" w:gutter="0"/>
          <w:cols w:space="720"/>
        </w:sectPr>
      </w:pPr>
    </w:p>
    <w:p w14:paraId="21CEB0D7" w14:textId="75141D1A" w:rsidR="00012A75" w:rsidRPr="00C545AA" w:rsidRDefault="00012A75" w:rsidP="00012A75">
      <w:pPr>
        <w:ind w:left="774"/>
        <w:rPr>
          <w:iCs/>
        </w:rPr>
      </w:pPr>
      <w:r>
        <w:lastRenderedPageBreak/>
        <w:t xml:space="preserve">Figure 5: Rank of countries in order of Discontinuity, </w:t>
      </w:r>
      <w:r w:rsidR="00996471">
        <w:t>defined on different set</w:t>
      </w:r>
      <w:r w:rsidR="00D210B7">
        <w:t>s</w:t>
      </w:r>
      <w:r w:rsidR="00996471">
        <w:t xml:space="preserve"> of dimensions, </w:t>
      </w:r>
      <w:r>
        <w:t xml:space="preserve">different values of </w:t>
      </w:r>
      <w:r>
        <w:rPr>
          <w:i/>
        </w:rPr>
        <w:t>θ</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6"/>
        <w:gridCol w:w="3896"/>
        <w:gridCol w:w="3896"/>
      </w:tblGrid>
      <w:tr w:rsidR="007E7BF0" w14:paraId="5124A261" w14:textId="77777777" w:rsidTr="00C545AA">
        <w:trPr>
          <w:jc w:val="center"/>
        </w:trPr>
        <w:tc>
          <w:tcPr>
            <w:tcW w:w="0" w:type="auto"/>
            <w:vAlign w:val="center"/>
          </w:tcPr>
          <w:p w14:paraId="59848F0A" w14:textId="3EF0D754" w:rsidR="00E11EE0" w:rsidRPr="00012A75" w:rsidRDefault="008D15FC" w:rsidP="00E11EE0">
            <w:pPr>
              <w:ind w:left="0" w:firstLine="0"/>
              <w:jc w:val="center"/>
            </w:pPr>
            <w:r>
              <w:rPr>
                <w:i/>
              </w:rPr>
              <w:t>θ</w:t>
            </w:r>
            <w:r>
              <w:t xml:space="preserve"> </w:t>
            </w:r>
            <w:r w:rsidR="00E11EE0">
              <w:t>=0.5</w:t>
            </w:r>
          </w:p>
        </w:tc>
        <w:tc>
          <w:tcPr>
            <w:tcW w:w="0" w:type="auto"/>
            <w:vAlign w:val="center"/>
          </w:tcPr>
          <w:p w14:paraId="4D7053AA" w14:textId="559737B6" w:rsidR="00E11EE0" w:rsidRPr="00012A75" w:rsidRDefault="008D15FC" w:rsidP="00E11EE0">
            <w:pPr>
              <w:ind w:left="0" w:firstLine="0"/>
              <w:jc w:val="center"/>
            </w:pPr>
            <w:r>
              <w:rPr>
                <w:i/>
              </w:rPr>
              <w:t>θ</w:t>
            </w:r>
            <w:r>
              <w:t xml:space="preserve"> </w:t>
            </w:r>
            <w:r w:rsidR="00E11EE0">
              <w:t>=1</w:t>
            </w:r>
          </w:p>
        </w:tc>
        <w:tc>
          <w:tcPr>
            <w:tcW w:w="0" w:type="auto"/>
            <w:vAlign w:val="center"/>
          </w:tcPr>
          <w:p w14:paraId="69468336" w14:textId="73E1B02A" w:rsidR="00E11EE0" w:rsidRPr="00E11EE0" w:rsidRDefault="008D15FC" w:rsidP="00E11EE0">
            <w:pPr>
              <w:ind w:left="0" w:firstLine="0"/>
              <w:jc w:val="center"/>
            </w:pPr>
            <w:r>
              <w:rPr>
                <w:i/>
              </w:rPr>
              <w:t>θ</w:t>
            </w:r>
            <w:r>
              <w:t xml:space="preserve"> </w:t>
            </w:r>
            <w:r w:rsidR="00E11EE0">
              <w:t>=2</w:t>
            </w:r>
          </w:p>
        </w:tc>
      </w:tr>
      <w:tr w:rsidR="007E7BF0" w14:paraId="06E8455D" w14:textId="77777777" w:rsidTr="00C545AA">
        <w:trPr>
          <w:jc w:val="center"/>
        </w:trPr>
        <w:tc>
          <w:tcPr>
            <w:tcW w:w="0" w:type="auto"/>
            <w:vAlign w:val="center"/>
          </w:tcPr>
          <w:p w14:paraId="3FCFA9DC" w14:textId="0A933D99" w:rsidR="00012A75" w:rsidRDefault="007E7BF0" w:rsidP="00115061">
            <w:pPr>
              <w:ind w:left="0" w:firstLine="0"/>
              <w:jc w:val="center"/>
            </w:pPr>
            <w:r w:rsidRPr="007E7BF0">
              <w:rPr>
                <w:noProof/>
              </w:rPr>
              <w:drawing>
                <wp:inline distT="0" distB="0" distL="0" distR="0" wp14:anchorId="515EB889" wp14:editId="25442F74">
                  <wp:extent cx="2331337" cy="2331371"/>
                  <wp:effectExtent l="0" t="0" r="5715" b="5715"/>
                  <wp:docPr id="143733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33729" name=""/>
                          <pic:cNvPicPr/>
                        </pic:nvPicPr>
                        <pic:blipFill rotWithShape="1">
                          <a:blip r:embed="rId17"/>
                          <a:srcRect l="15731" r="11543"/>
                          <a:stretch/>
                        </pic:blipFill>
                        <pic:spPr bwMode="auto">
                          <a:xfrm>
                            <a:off x="0" y="0"/>
                            <a:ext cx="2340399" cy="234043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CB4260E" w14:textId="1A1F778A" w:rsidR="00012A75" w:rsidRDefault="007E7BF0" w:rsidP="00115061">
            <w:pPr>
              <w:ind w:left="0" w:firstLine="0"/>
              <w:jc w:val="center"/>
            </w:pPr>
            <w:r w:rsidRPr="007E7BF0">
              <w:rPr>
                <w:noProof/>
              </w:rPr>
              <w:drawing>
                <wp:inline distT="0" distB="0" distL="0" distR="0" wp14:anchorId="73DB07F3" wp14:editId="6A0A48AC">
                  <wp:extent cx="2331337" cy="2331371"/>
                  <wp:effectExtent l="0" t="0" r="5715" b="5715"/>
                  <wp:docPr id="190870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02833" name=""/>
                          <pic:cNvPicPr/>
                        </pic:nvPicPr>
                        <pic:blipFill rotWithShape="1">
                          <a:blip r:embed="rId18"/>
                          <a:srcRect l="15731" r="11543"/>
                          <a:stretch/>
                        </pic:blipFill>
                        <pic:spPr bwMode="auto">
                          <a:xfrm>
                            <a:off x="0" y="0"/>
                            <a:ext cx="2345061" cy="2345096"/>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4624A55A" w14:textId="4439B962" w:rsidR="00012A75" w:rsidRDefault="007E7BF0" w:rsidP="00115061">
            <w:pPr>
              <w:ind w:left="0" w:firstLine="0"/>
              <w:jc w:val="center"/>
            </w:pPr>
            <w:r w:rsidRPr="007E7BF0">
              <w:rPr>
                <w:noProof/>
              </w:rPr>
              <w:drawing>
                <wp:inline distT="0" distB="0" distL="0" distR="0" wp14:anchorId="015ECB39" wp14:editId="12FF7862">
                  <wp:extent cx="2331686" cy="2331720"/>
                  <wp:effectExtent l="0" t="0" r="5715" b="5080"/>
                  <wp:docPr id="197846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65217" name=""/>
                          <pic:cNvPicPr/>
                        </pic:nvPicPr>
                        <pic:blipFill rotWithShape="1">
                          <a:blip r:embed="rId19"/>
                          <a:srcRect l="15731" r="11543"/>
                          <a:stretch/>
                        </pic:blipFill>
                        <pic:spPr bwMode="auto">
                          <a:xfrm>
                            <a:off x="0" y="0"/>
                            <a:ext cx="2331686" cy="23317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951342" w14:textId="77777777" w:rsidR="007E7BF0" w:rsidRDefault="007E7BF0" w:rsidP="00C545AA">
      <w:pPr>
        <w:spacing w:after="0" w:line="259" w:lineRule="auto"/>
        <w:ind w:left="0" w:firstLine="0"/>
        <w:jc w:val="left"/>
      </w:pPr>
      <w:r w:rsidRPr="009D78F6">
        <w:rPr>
          <w:sz w:val="18"/>
        </w:rPr>
        <w:t>Source: Authors’ elaboration on data from the Minnesota Population Center (2020) via IPUMS International, and Raleigh, Kishi, and Linke (2023) via ACLED</w:t>
      </w:r>
      <w:r>
        <w:t xml:space="preserve">. </w:t>
      </w:r>
    </w:p>
    <w:p w14:paraId="3ED9FF2F" w14:textId="3B10A664" w:rsidR="00012A75" w:rsidRDefault="007E7BF0" w:rsidP="00C545AA">
      <w:pPr>
        <w:jc w:val="left"/>
      </w:pPr>
      <w:r w:rsidRPr="00CA09C9">
        <w:rPr>
          <w:sz w:val="18"/>
        </w:rPr>
        <w:t>Note</w:t>
      </w:r>
      <w:r>
        <w:rPr>
          <w:sz w:val="18"/>
        </w:rPr>
        <w:t>: countries are ranked from 1-maximum discontinuity to 32-minimum discontinuity</w:t>
      </w:r>
    </w:p>
    <w:p w14:paraId="477C3330" w14:textId="03037ED2" w:rsidR="00012A75" w:rsidRDefault="00012A75" w:rsidP="00C545AA">
      <w:pPr>
        <w:spacing w:after="0" w:line="240" w:lineRule="auto"/>
        <w:ind w:left="0" w:firstLine="0"/>
        <w:jc w:val="left"/>
      </w:pPr>
    </w:p>
    <w:p w14:paraId="59CE5292" w14:textId="77777777" w:rsidR="00E11EE0" w:rsidRDefault="00E11EE0">
      <w:pPr>
        <w:spacing w:after="0" w:line="240" w:lineRule="auto"/>
        <w:ind w:left="0" w:firstLine="0"/>
        <w:jc w:val="left"/>
        <w:sectPr w:rsidR="00E11EE0" w:rsidSect="00115061">
          <w:pgSz w:w="15840" w:h="12240" w:orient="landscape"/>
          <w:pgMar w:top="1836" w:right="2807" w:bottom="1836" w:left="1088" w:header="720" w:footer="2211" w:gutter="0"/>
          <w:cols w:space="720"/>
          <w:docGrid w:linePitch="299"/>
        </w:sectPr>
      </w:pPr>
    </w:p>
    <w:p w14:paraId="3CFFA58F" w14:textId="7589ACAE" w:rsidR="008C5A17" w:rsidRDefault="008C5A17" w:rsidP="008C5A17">
      <w:pPr>
        <w:spacing w:after="0" w:line="259" w:lineRule="auto"/>
        <w:ind w:left="1005" w:firstLine="0"/>
        <w:jc w:val="left"/>
      </w:pPr>
    </w:p>
    <w:tbl>
      <w:tblPr>
        <w:tblStyle w:val="TableGrid0"/>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3"/>
      </w:tblGrid>
      <w:tr w:rsidR="006A44EB" w14:paraId="5D4FFE74" w14:textId="77777777" w:rsidTr="006A44EB">
        <w:tc>
          <w:tcPr>
            <w:tcW w:w="8653" w:type="dxa"/>
          </w:tcPr>
          <w:p w14:paraId="7B23F0E6" w14:textId="18F94984" w:rsidR="006A44EB" w:rsidRDefault="006A44EB">
            <w:pPr>
              <w:spacing w:after="0" w:line="259" w:lineRule="auto"/>
              <w:ind w:left="0" w:firstLine="0"/>
              <w:jc w:val="left"/>
            </w:pPr>
            <w:r w:rsidRPr="006A44EB">
              <w:rPr>
                <w:noProof/>
              </w:rPr>
              <w:drawing>
                <wp:inline distT="0" distB="0" distL="0" distR="0" wp14:anchorId="2E86120A" wp14:editId="40EEDC63">
                  <wp:extent cx="5401720" cy="5646420"/>
                  <wp:effectExtent l="0" t="0" r="0" b="0"/>
                  <wp:docPr id="64274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46561" name=""/>
                          <pic:cNvPicPr/>
                        </pic:nvPicPr>
                        <pic:blipFill rotWithShape="1">
                          <a:blip r:embed="rId20">
                            <a:extLst>
                              <a:ext uri="{28A0092B-C50C-407E-A947-70E740481C1C}">
                                <a14:useLocalDpi xmlns:a14="http://schemas.microsoft.com/office/drawing/2010/main" val="0"/>
                              </a:ext>
                            </a:extLst>
                          </a:blip>
                          <a:srcRect l="12822" t="17270" r="11803" b="21848"/>
                          <a:stretch/>
                        </pic:blipFill>
                        <pic:spPr bwMode="auto">
                          <a:xfrm>
                            <a:off x="0" y="0"/>
                            <a:ext cx="5414952" cy="5660251"/>
                          </a:xfrm>
                          <a:prstGeom prst="rect">
                            <a:avLst/>
                          </a:prstGeom>
                          <a:ln>
                            <a:noFill/>
                          </a:ln>
                          <a:extLst>
                            <a:ext uri="{53640926-AAD7-44D8-BBD7-CCE9431645EC}">
                              <a14:shadowObscured xmlns:a14="http://schemas.microsoft.com/office/drawing/2010/main"/>
                            </a:ext>
                          </a:extLst>
                        </pic:spPr>
                      </pic:pic>
                    </a:graphicData>
                  </a:graphic>
                </wp:inline>
              </w:drawing>
            </w:r>
          </w:p>
          <w:p w14:paraId="1D247951" w14:textId="7856DE59" w:rsidR="006A44EB" w:rsidRDefault="006A44EB">
            <w:pPr>
              <w:spacing w:after="0" w:line="259" w:lineRule="auto"/>
              <w:ind w:left="0" w:firstLine="0"/>
              <w:jc w:val="left"/>
            </w:pPr>
            <w:r w:rsidRPr="009D78F6">
              <w:rPr>
                <w:sz w:val="18"/>
              </w:rPr>
              <w:t>Source: Authors’ elaboration on data from the Minnesota Population Center (2020) via IPUMS International, and Raleigh, Kishi, and Linke (2023) via ACLED</w:t>
            </w:r>
            <w:r>
              <w:t xml:space="preserve">. </w:t>
            </w:r>
          </w:p>
        </w:tc>
      </w:tr>
    </w:tbl>
    <w:p w14:paraId="367F2E60" w14:textId="336DFE3E" w:rsidR="008C5A17" w:rsidRDefault="008C5A17">
      <w:pPr>
        <w:spacing w:after="0" w:line="259" w:lineRule="auto"/>
        <w:ind w:left="1005" w:firstLine="0"/>
        <w:jc w:val="left"/>
      </w:pPr>
    </w:p>
    <w:p w14:paraId="4822E108" w14:textId="55C7E73E" w:rsidR="008C5A17" w:rsidRDefault="008C5A17">
      <w:pPr>
        <w:spacing w:after="0" w:line="240" w:lineRule="auto"/>
        <w:ind w:left="0" w:firstLine="0"/>
        <w:jc w:val="left"/>
      </w:pPr>
      <w:r>
        <w:br w:type="page"/>
      </w:r>
    </w:p>
    <w:p w14:paraId="7D1FC6AB" w14:textId="77777777" w:rsidR="00F5687E" w:rsidRDefault="00F5687E">
      <w:pPr>
        <w:spacing w:after="0" w:line="259" w:lineRule="auto"/>
        <w:ind w:left="1005" w:firstLine="0"/>
        <w:jc w:val="left"/>
      </w:pPr>
    </w:p>
    <w:p w14:paraId="47159B5C" w14:textId="372F811E" w:rsidR="00F5687E" w:rsidRDefault="003A130B">
      <w:pPr>
        <w:pStyle w:val="Heading1"/>
        <w:ind w:left="469" w:hanging="484"/>
      </w:pPr>
      <w:r>
        <w:t xml:space="preserve">Navigating </w:t>
      </w:r>
      <w:r w:rsidR="008166F2">
        <w:t>territorial</w:t>
      </w:r>
      <w:r>
        <w:t xml:space="preserve"> presence: unpacking </w:t>
      </w:r>
      <w:r w:rsidR="00D3027E">
        <w:t>State-</w:t>
      </w:r>
      <w:r>
        <w:t xml:space="preserve">density </w:t>
      </w:r>
      <w:r w:rsidR="00D3027E">
        <w:t xml:space="preserve">correlates </w:t>
      </w:r>
    </w:p>
    <w:p w14:paraId="52A06BE3" w14:textId="296C9228" w:rsidR="00F5687E" w:rsidRDefault="003A130B" w:rsidP="00115061">
      <w:pPr>
        <w:spacing w:after="604"/>
        <w:ind w:left="-5"/>
      </w:pPr>
      <w:r>
        <w:t xml:space="preserve">In this section, we investigate deeper into potential </w:t>
      </w:r>
      <w:r w:rsidR="00F066A8">
        <w:t>factors associated to the</w:t>
      </w:r>
      <w:r>
        <w:t xml:space="preserve"> </w:t>
      </w:r>
      <w:r w:rsidR="00976C56">
        <w:t>State</w:t>
      </w:r>
      <w:r>
        <w:t xml:space="preserve"> density index</w:t>
      </w:r>
      <w:r w:rsidR="00D76FCB">
        <w:t xml:space="preserve">, based on an exploration of </w:t>
      </w:r>
      <w:r>
        <w:t xml:space="preserve">the literature interested in the mechanisms explaining </w:t>
      </w:r>
      <w:r w:rsidR="00976C56">
        <w:t>State</w:t>
      </w:r>
      <w:r>
        <w:t>s’ presence in a territory.</w:t>
      </w:r>
      <w:r w:rsidR="009A76FB">
        <w:t xml:space="preserve"> According to the literature, factors associated and direction of the </w:t>
      </w:r>
      <w:r w:rsidR="003A3173">
        <w:t>associations</w:t>
      </w:r>
      <w:r w:rsidR="000408E2">
        <w:t xml:space="preserve"> are:</w:t>
      </w:r>
    </w:p>
    <w:p w14:paraId="51E47671" w14:textId="3A982D18" w:rsidR="00BA3F65" w:rsidRDefault="00BA3F65" w:rsidP="00BA3F65">
      <w:r>
        <w:rPr>
          <w:b/>
        </w:rPr>
        <w:t xml:space="preserve">A1. </w:t>
      </w:r>
      <w:r>
        <w:t xml:space="preserve">The extension of the territory is negatively associated to </w:t>
      </w:r>
      <w:r w:rsidR="00865094">
        <w:t xml:space="preserve">State </w:t>
      </w:r>
      <w:r>
        <w:t>density</w:t>
      </w:r>
      <w:r w:rsidR="00465677">
        <w:t>.</w:t>
      </w:r>
    </w:p>
    <w:p w14:paraId="22AD1E2B" w14:textId="77777777" w:rsidR="00BA3F65" w:rsidRPr="00BA3F65" w:rsidRDefault="00BA3F65" w:rsidP="003670CB"/>
    <w:p w14:paraId="6F57C864" w14:textId="6052E01C" w:rsidR="00F5687E" w:rsidRDefault="003A130B">
      <w:pPr>
        <w:spacing w:after="287"/>
        <w:ind w:left="-5"/>
      </w:pPr>
      <w:r>
        <w:rPr>
          <w:color w:val="0000FF"/>
        </w:rPr>
        <w:t xml:space="preserve">Olsson </w:t>
      </w:r>
      <w:r w:rsidR="009D78F6">
        <w:rPr>
          <w:color w:val="0000FF"/>
        </w:rPr>
        <w:t>and</w:t>
      </w:r>
      <w:r>
        <w:rPr>
          <w:color w:val="0000FF"/>
        </w:rPr>
        <w:t xml:space="preserve"> Hansson </w:t>
      </w:r>
      <w:r>
        <w:t>(</w:t>
      </w:r>
      <w:r>
        <w:rPr>
          <w:color w:val="0000FF"/>
        </w:rPr>
        <w:t>2011</w:t>
      </w:r>
      <w:r>
        <w:t xml:space="preserve">) show there is a negative relationship between the size of a country’s territory and the strength of the rule of law for a large cross-section of countries. </w:t>
      </w:r>
      <w:r>
        <w:rPr>
          <w:color w:val="0000FF"/>
        </w:rPr>
        <w:t>Acemoglu, Garc</w:t>
      </w:r>
      <w:r w:rsidR="003A3173" w:rsidRPr="003A3173">
        <w:rPr>
          <w:color w:val="0000FF"/>
        </w:rPr>
        <w:t>í</w:t>
      </w:r>
      <w:r>
        <w:rPr>
          <w:color w:val="0000FF"/>
        </w:rPr>
        <w:t xml:space="preserve">a-Jimeno, </w:t>
      </w:r>
      <w:r w:rsidR="009D78F6">
        <w:rPr>
          <w:color w:val="0000FF"/>
        </w:rPr>
        <w:t>and</w:t>
      </w:r>
      <w:r>
        <w:rPr>
          <w:color w:val="0000FF"/>
        </w:rPr>
        <w:t xml:space="preserve"> Robinson </w:t>
      </w:r>
      <w:r>
        <w:t>(</w:t>
      </w:r>
      <w:r>
        <w:rPr>
          <w:color w:val="0000FF"/>
        </w:rPr>
        <w:t>2015</w:t>
      </w:r>
      <w:r>
        <w:t xml:space="preserve">) argue that in less-developed parts of the world, there is a lack of capacity of central and local </w:t>
      </w:r>
      <w:r w:rsidR="00976C56">
        <w:t>State</w:t>
      </w:r>
      <w:r>
        <w:t xml:space="preserve">s to enforce law and order, regulate economic activity, and provide public goods. They cite </w:t>
      </w:r>
      <w:r>
        <w:rPr>
          <w:color w:val="0000FF"/>
        </w:rPr>
        <w:t xml:space="preserve">Migdal </w:t>
      </w:r>
      <w:r>
        <w:t>(</w:t>
      </w:r>
      <w:r>
        <w:rPr>
          <w:color w:val="0000FF"/>
        </w:rPr>
        <w:t>1988</w:t>
      </w:r>
      <w:r>
        <w:t xml:space="preserve">) to introduce their analysis and motivation: “In parts of the Third World, the inability of </w:t>
      </w:r>
      <w:r w:rsidR="00976C56">
        <w:t>State</w:t>
      </w:r>
      <w:r>
        <w:t xml:space="preserve"> leaders to achieve predominance in large areas of their countries has been striking...” This inability represents a conundrum for developing economies in which the </w:t>
      </w:r>
      <w:r w:rsidR="00045190">
        <w:t>s</w:t>
      </w:r>
      <w:r w:rsidR="00976C56">
        <w:t>tate</w:t>
      </w:r>
      <w:r>
        <w:t xml:space="preserve"> presence seems to be concentrated in specific regions. In addition, there is evidence showing that country-specific factors like the geographic expanse of a country affect both the incentives for engaging in corrupt activities and the governance of such acts (</w:t>
      </w:r>
      <w:r>
        <w:rPr>
          <w:color w:val="0000FF"/>
        </w:rPr>
        <w:t>Goel &amp; Nelson</w:t>
      </w:r>
      <w:r>
        <w:t xml:space="preserve">, </w:t>
      </w:r>
      <w:r>
        <w:rPr>
          <w:color w:val="0000FF"/>
        </w:rPr>
        <w:t>2007</w:t>
      </w:r>
      <w:r>
        <w:t xml:space="preserve">, </w:t>
      </w:r>
      <w:r>
        <w:rPr>
          <w:color w:val="0000FF"/>
        </w:rPr>
        <w:t>2010</w:t>
      </w:r>
      <w:r>
        <w:t xml:space="preserve">). Therefore, we would expect a lower </w:t>
      </w:r>
      <w:r w:rsidR="00976C56">
        <w:t>State</w:t>
      </w:r>
      <w:r>
        <w:t xml:space="preserve"> density in larger regions because it might be relatively hard to monitor government officials in geographically dispersed locations. This could translate into inefficiencies in public service delivery. In short, building on these results, a first hypothesis emerges about the relationship between </w:t>
      </w:r>
      <w:r w:rsidR="00976C56">
        <w:t>State</w:t>
      </w:r>
      <w:r>
        <w:t xml:space="preserve"> density and geographic expanse.</w:t>
      </w:r>
    </w:p>
    <w:p w14:paraId="72E52FBF" w14:textId="60695CFF" w:rsidR="00271448" w:rsidRDefault="00271448" w:rsidP="00271448">
      <w:pPr>
        <w:spacing w:after="260"/>
        <w:ind w:left="-15" w:firstLine="339"/>
      </w:pPr>
      <w:r>
        <w:rPr>
          <w:b/>
        </w:rPr>
        <w:t xml:space="preserve">A2. </w:t>
      </w:r>
      <w:r>
        <w:t xml:space="preserve">State density tends to be lower </w:t>
      </w:r>
      <w:r w:rsidR="00E4662F">
        <w:t>when the</w:t>
      </w:r>
      <w:r>
        <w:t xml:space="preserve"> </w:t>
      </w:r>
      <w:r w:rsidR="00E4662F">
        <w:t>proportion</w:t>
      </w:r>
      <w:r>
        <w:t xml:space="preserve"> of foreign-born people in a region increases.</w:t>
      </w:r>
    </w:p>
    <w:p w14:paraId="0C61FD16" w14:textId="385FBD5E" w:rsidR="00F5687E" w:rsidRDefault="003A130B">
      <w:pPr>
        <w:spacing w:after="290"/>
        <w:ind w:left="-15" w:firstLine="339"/>
      </w:pPr>
      <w:r>
        <w:t>A second subject of interest is whether foreign</w:t>
      </w:r>
      <w:r w:rsidR="00E4662F">
        <w:t>-born</w:t>
      </w:r>
      <w:r>
        <w:t xml:space="preserve"> citizens’ presence within a territory correlates with higher </w:t>
      </w:r>
      <w:r w:rsidR="00976C56">
        <w:t>State</w:t>
      </w:r>
      <w:r>
        <w:t xml:space="preserve"> density. </w:t>
      </w:r>
      <w:r>
        <w:rPr>
          <w:color w:val="0000FF"/>
        </w:rPr>
        <w:t xml:space="preserve">Easterly </w:t>
      </w:r>
      <w:r w:rsidR="009D78F6">
        <w:rPr>
          <w:color w:val="0000FF"/>
        </w:rPr>
        <w:t>and</w:t>
      </w:r>
      <w:r>
        <w:rPr>
          <w:color w:val="0000FF"/>
        </w:rPr>
        <w:t xml:space="preserve"> Levine </w:t>
      </w:r>
      <w:r>
        <w:t>(</w:t>
      </w:r>
      <w:r>
        <w:rPr>
          <w:color w:val="0000FF"/>
        </w:rPr>
        <w:t>1997</w:t>
      </w:r>
      <w:r>
        <w:t xml:space="preserve">) show that ethnolinguistic diversity helps explain cross-country differences in public policies and other economic indicators. In particular, they argue that low schooling, political instability, and insufficient infrastructure, among others, are explained by Africa’s high ethnic fragmentation. A growing body of research connects diversity to anti-welfare attitudes and lower levels of social welfare expenditure. Following the foundational work of </w:t>
      </w:r>
      <w:r>
        <w:rPr>
          <w:color w:val="0000FF"/>
        </w:rPr>
        <w:t xml:space="preserve">Alesina </w:t>
      </w:r>
      <w:r w:rsidR="009D78F6">
        <w:rPr>
          <w:color w:val="0000FF"/>
        </w:rPr>
        <w:t>and</w:t>
      </w:r>
      <w:r>
        <w:rPr>
          <w:color w:val="0000FF"/>
        </w:rPr>
        <w:t xml:space="preserve"> Glaeser </w:t>
      </w:r>
      <w:r>
        <w:t>(</w:t>
      </w:r>
      <w:r>
        <w:rPr>
          <w:color w:val="0000FF"/>
        </w:rPr>
        <w:t>2004</w:t>
      </w:r>
      <w:r>
        <w:t xml:space="preserve">), where they claim that ethnic heterogeneity and fractionalization are some of the main reasons explaining why the United States has a weaker welfare </w:t>
      </w:r>
      <w:r w:rsidR="00976C56">
        <w:t>State</w:t>
      </w:r>
      <w:r>
        <w:t xml:space="preserve"> than Western Europe, other authors have claimed that immigration could be a potential challenge for Western European welfare </w:t>
      </w:r>
      <w:r w:rsidR="00976C56">
        <w:t>State</w:t>
      </w:r>
      <w:r>
        <w:t>s also (</w:t>
      </w:r>
      <w:r>
        <w:rPr>
          <w:color w:val="0000FF"/>
        </w:rPr>
        <w:t>Eger</w:t>
      </w:r>
      <w:r>
        <w:t xml:space="preserve">, </w:t>
      </w:r>
      <w:r>
        <w:rPr>
          <w:color w:val="0000FF"/>
        </w:rPr>
        <w:t>2010</w:t>
      </w:r>
      <w:r>
        <w:t xml:space="preserve">; </w:t>
      </w:r>
      <w:r>
        <w:rPr>
          <w:color w:val="0000FF"/>
        </w:rPr>
        <w:t>Larsen</w:t>
      </w:r>
      <w:r>
        <w:t xml:space="preserve">, </w:t>
      </w:r>
      <w:r>
        <w:rPr>
          <w:color w:val="0000FF"/>
        </w:rPr>
        <w:t>2011</w:t>
      </w:r>
      <w:r>
        <w:t xml:space="preserve">). </w:t>
      </w:r>
      <w:r>
        <w:rPr>
          <w:color w:val="0000FF"/>
        </w:rPr>
        <w:t xml:space="preserve">Eger </w:t>
      </w:r>
      <w:r w:rsidR="009D78F6">
        <w:rPr>
          <w:color w:val="0000FF"/>
        </w:rPr>
        <w:t>and</w:t>
      </w:r>
      <w:r>
        <w:rPr>
          <w:color w:val="0000FF"/>
        </w:rPr>
        <w:t xml:space="preserve"> Breznau </w:t>
      </w:r>
      <w:r>
        <w:t>(</w:t>
      </w:r>
      <w:r>
        <w:rPr>
          <w:color w:val="0000FF"/>
        </w:rPr>
        <w:t>2017</w:t>
      </w:r>
      <w:r>
        <w:t xml:space="preserve">) utilizing multilevel </w:t>
      </w:r>
      <w:r>
        <w:lastRenderedPageBreak/>
        <w:t xml:space="preserve">modeling, find a negative relationship between regional percent foreign-born and support for redistribution alongside between regional percent foreign-born and support for a comprehensive welfare </w:t>
      </w:r>
      <w:r w:rsidR="00976C56">
        <w:t>State</w:t>
      </w:r>
      <w:r>
        <w:t xml:space="preserve"> across 13 European countries. These findings are key to our purposes because the welfare </w:t>
      </w:r>
      <w:r w:rsidR="00976C56">
        <w:t>State</w:t>
      </w:r>
      <w:r>
        <w:t xml:space="preserve"> is the modern institution responsible for the distribution of social services and benefits to members of society like education, health care, and childcare (</w:t>
      </w:r>
      <w:r>
        <w:rPr>
          <w:color w:val="0000FF"/>
        </w:rPr>
        <w:t>Eger &amp; Breznau</w:t>
      </w:r>
      <w:r>
        <w:t xml:space="preserve">, </w:t>
      </w:r>
      <w:r>
        <w:rPr>
          <w:color w:val="0000FF"/>
        </w:rPr>
        <w:t>2017</w:t>
      </w:r>
      <w:r>
        <w:t xml:space="preserve">; </w:t>
      </w:r>
      <w:r>
        <w:rPr>
          <w:color w:val="0000FF"/>
        </w:rPr>
        <w:t>Roosma, Gelissen, &amp; van Oorschot</w:t>
      </w:r>
      <w:r>
        <w:t xml:space="preserve">, </w:t>
      </w:r>
      <w:r>
        <w:rPr>
          <w:color w:val="0000FF"/>
        </w:rPr>
        <w:t>2013</w:t>
      </w:r>
      <w:r>
        <w:t xml:space="preserve">). If people do not support social policy, the presence of the </w:t>
      </w:r>
      <w:r w:rsidR="00976C56">
        <w:t>State</w:t>
      </w:r>
      <w:r>
        <w:t xml:space="preserve">, by our measures, could be lower. Interestingly, not all the works converge to the same point. </w:t>
      </w:r>
      <w:r>
        <w:rPr>
          <w:color w:val="0000FF"/>
        </w:rPr>
        <w:t xml:space="preserve">Brady </w:t>
      </w:r>
      <w:r w:rsidR="009D78F6">
        <w:rPr>
          <w:color w:val="0000FF"/>
        </w:rPr>
        <w:t>and</w:t>
      </w:r>
      <w:r>
        <w:rPr>
          <w:color w:val="0000FF"/>
        </w:rPr>
        <w:t xml:space="preserve"> Finnigan </w:t>
      </w:r>
      <w:r>
        <w:t>(</w:t>
      </w:r>
      <w:r>
        <w:rPr>
          <w:color w:val="0000FF"/>
        </w:rPr>
        <w:t>2014</w:t>
      </w:r>
      <w:r>
        <w:t xml:space="preserve">) use the foreign-born percent of the population, net migration, and the 10-year change in the percent foreign born to explore the relationship between immigration and the welfare </w:t>
      </w:r>
      <w:r w:rsidR="00976C56">
        <w:t>State</w:t>
      </w:r>
      <w:r>
        <w:t xml:space="preserve"> in 17 affluent economies. They show these variables fail to have robust significant negative effects on welfare attitudes. Notably, most research on immigration and attitudes toward the welfare </w:t>
      </w:r>
      <w:r w:rsidR="00976C56">
        <w:t>State</w:t>
      </w:r>
      <w:r>
        <w:t xml:space="preserve"> comes from analyses of US </w:t>
      </w:r>
      <w:r w:rsidR="00976C56">
        <w:t>State</w:t>
      </w:r>
      <w:r>
        <w:t xml:space="preserve">s or comparisons of the United States to Europe. We inform these results by examining the relationship between the percentage of foreign-born people and </w:t>
      </w:r>
      <w:r w:rsidR="00976C56">
        <w:t>State</w:t>
      </w:r>
      <w:r>
        <w:t xml:space="preserve"> density in developing economies. Given the growing bulk of the literature, we expect to find a negative relationship between both variables.</w:t>
      </w:r>
    </w:p>
    <w:p w14:paraId="57E95AA5" w14:textId="2570E928" w:rsidR="00E4662F" w:rsidRDefault="00E4662F" w:rsidP="00E4662F">
      <w:pPr>
        <w:spacing w:after="260"/>
        <w:ind w:left="-15" w:firstLine="339"/>
      </w:pPr>
      <w:r>
        <w:rPr>
          <w:b/>
        </w:rPr>
        <w:t xml:space="preserve">A3. </w:t>
      </w:r>
      <w:r>
        <w:t xml:space="preserve">State density </w:t>
      </w:r>
      <w:r w:rsidR="000D65FB">
        <w:t xml:space="preserve">is </w:t>
      </w:r>
      <w:r>
        <w:t xml:space="preserve">lower </w:t>
      </w:r>
      <w:r w:rsidR="000D65FB">
        <w:t xml:space="preserve">as </w:t>
      </w:r>
      <w:r>
        <w:t>the percentage of people belonging to an indigenous group increases.</w:t>
      </w:r>
    </w:p>
    <w:p w14:paraId="266993C6" w14:textId="7B566493" w:rsidR="00F5687E" w:rsidRDefault="003A130B">
      <w:pPr>
        <w:spacing w:after="285"/>
        <w:ind w:left="-15" w:firstLine="339"/>
      </w:pPr>
      <w:r>
        <w:t xml:space="preserve">The literature has </w:t>
      </w:r>
      <w:r w:rsidR="000D65FB">
        <w:t xml:space="preserve">systematically </w:t>
      </w:r>
      <w:r>
        <w:t>shown that indigenous institutions matter for current economic development (</w:t>
      </w:r>
      <w:r>
        <w:rPr>
          <w:color w:val="0000FF"/>
        </w:rPr>
        <w:t>Michalopoulos &amp; Papaioannou</w:t>
      </w:r>
      <w:r>
        <w:t xml:space="preserve">, </w:t>
      </w:r>
      <w:r>
        <w:rPr>
          <w:color w:val="0000FF"/>
        </w:rPr>
        <w:t>2013</w:t>
      </w:r>
      <w:r>
        <w:t xml:space="preserve">; </w:t>
      </w:r>
      <w:r>
        <w:rPr>
          <w:color w:val="0000FF"/>
        </w:rPr>
        <w:t>Dippel</w:t>
      </w:r>
      <w:r>
        <w:t xml:space="preserve">, </w:t>
      </w:r>
      <w:r>
        <w:rPr>
          <w:color w:val="0000FF"/>
        </w:rPr>
        <w:t>2014</w:t>
      </w:r>
      <w:r>
        <w:t xml:space="preserve">; </w:t>
      </w:r>
      <w:r>
        <w:rPr>
          <w:color w:val="0000FF"/>
        </w:rPr>
        <w:t>Alsan</w:t>
      </w:r>
      <w:r>
        <w:t xml:space="preserve">, </w:t>
      </w:r>
      <w:r>
        <w:rPr>
          <w:color w:val="0000FF"/>
        </w:rPr>
        <w:t>2015</w:t>
      </w:r>
      <w:r>
        <w:t>), countries’ institutional development (</w:t>
      </w:r>
      <w:r>
        <w:rPr>
          <w:color w:val="0000FF"/>
        </w:rPr>
        <w:t>Bentzen, Hariri, &amp; Robinson</w:t>
      </w:r>
      <w:r>
        <w:t xml:space="preserve">, </w:t>
      </w:r>
      <w:r>
        <w:rPr>
          <w:color w:val="0000FF"/>
        </w:rPr>
        <w:t>2019</w:t>
      </w:r>
      <w:r>
        <w:t>), and public goods provision (</w:t>
      </w:r>
      <w:r>
        <w:rPr>
          <w:color w:val="0000FF"/>
        </w:rPr>
        <w:t>Gennaioli &amp; Rainer</w:t>
      </w:r>
      <w:r>
        <w:t xml:space="preserve">, </w:t>
      </w:r>
      <w:r>
        <w:rPr>
          <w:color w:val="0000FF"/>
        </w:rPr>
        <w:t>2007</w:t>
      </w:r>
      <w:r>
        <w:t xml:space="preserve">). Historically, however, some indigenous institutions have been ignored by the </w:t>
      </w:r>
      <w:r w:rsidR="00976C56">
        <w:t>State</w:t>
      </w:r>
      <w:r>
        <w:t>s. Take, for instance, the case of the US, where the Founders ignored not only the native American institutions but the native American people. Indigenous people were considered citizens of their separate nations, not citizens of the US for an extended period (</w:t>
      </w:r>
      <w:r>
        <w:rPr>
          <w:color w:val="0000FF"/>
        </w:rPr>
        <w:t>Bentzen et al.</w:t>
      </w:r>
      <w:r>
        <w:t xml:space="preserve">, </w:t>
      </w:r>
      <w:r>
        <w:rPr>
          <w:color w:val="0000FF"/>
        </w:rPr>
        <w:t>2019</w:t>
      </w:r>
      <w:r>
        <w:t xml:space="preserve">). Moreover, some evidence indicates that indigenous populations’ incidence could be negatively correlated with </w:t>
      </w:r>
      <w:r w:rsidR="00976C56">
        <w:t>State</w:t>
      </w:r>
      <w:r>
        <w:t xml:space="preserve"> density. The </w:t>
      </w:r>
      <w:r>
        <w:rPr>
          <w:color w:val="0000FF"/>
        </w:rPr>
        <w:t xml:space="preserve">World Bank </w:t>
      </w:r>
      <w:r>
        <w:t>(</w:t>
      </w:r>
      <w:r>
        <w:rPr>
          <w:color w:val="0000FF"/>
        </w:rPr>
        <w:t>2017</w:t>
      </w:r>
      <w:r>
        <w:t>) shows that in Bolivia, the least dense region (</w:t>
      </w:r>
      <w:r w:rsidR="003A3173" w:rsidRPr="003A3173">
        <w:t>Potosí</w:t>
      </w:r>
      <w:r>
        <w:t xml:space="preserve">) is also the region with the highest percentage of the indigenous population, who historically have been underrepresented in </w:t>
      </w:r>
      <w:r w:rsidR="00976C56">
        <w:t>State</w:t>
      </w:r>
      <w:r>
        <w:t xml:space="preserve"> institutions and policy making. We take a more systematic approach to explore the relationship between the </w:t>
      </w:r>
      <w:r w:rsidR="00976C56">
        <w:t>State</w:t>
      </w:r>
      <w:r>
        <w:t xml:space="preserve">’s presence and the percentage of the indigenous population. </w:t>
      </w:r>
    </w:p>
    <w:p w14:paraId="54E0A49B" w14:textId="34D18CA7" w:rsidR="005B4453" w:rsidRDefault="005B4453" w:rsidP="005B4453">
      <w:pPr>
        <w:spacing w:after="298"/>
        <w:ind w:left="349"/>
      </w:pPr>
      <w:r>
        <w:rPr>
          <w:b/>
        </w:rPr>
        <w:t xml:space="preserve">A4. </w:t>
      </w:r>
      <w:r>
        <w:t xml:space="preserve">State density </w:t>
      </w:r>
      <w:r w:rsidR="009853D3">
        <w:t xml:space="preserve">tends to be </w:t>
      </w:r>
      <w:r>
        <w:t>lower in rural sectors.</w:t>
      </w:r>
    </w:p>
    <w:p w14:paraId="0BFAAA77" w14:textId="66FC7D77" w:rsidR="00F5687E" w:rsidRDefault="003A130B">
      <w:pPr>
        <w:spacing w:after="296"/>
        <w:ind w:left="-15" w:firstLine="339"/>
      </w:pPr>
      <w:r>
        <w:t>In developing economies, the access and quality of public services differ in rural and urban settings (</w:t>
      </w:r>
      <w:r>
        <w:rPr>
          <w:color w:val="0000FF"/>
        </w:rPr>
        <w:t>World Bank</w:t>
      </w:r>
      <w:r>
        <w:t xml:space="preserve">, </w:t>
      </w:r>
      <w:r>
        <w:rPr>
          <w:color w:val="0000FF"/>
        </w:rPr>
        <w:t>2017</w:t>
      </w:r>
      <w:r>
        <w:t>), where basic services in rural areas are less accessible and of lower quality than those in the urban counterparts (</w:t>
      </w:r>
      <w:r>
        <w:rPr>
          <w:color w:val="0000FF"/>
        </w:rPr>
        <w:t>Brinkerhoff, Wetterberg, &amp; Wibbels</w:t>
      </w:r>
      <w:r>
        <w:t xml:space="preserve">, </w:t>
      </w:r>
      <w:r>
        <w:rPr>
          <w:color w:val="0000FF"/>
        </w:rPr>
        <w:t>2018</w:t>
      </w:r>
      <w:r>
        <w:t xml:space="preserve">). </w:t>
      </w:r>
      <w:r>
        <w:rPr>
          <w:color w:val="0000FF"/>
        </w:rPr>
        <w:t xml:space="preserve">Brinkerhoff et al. </w:t>
      </w:r>
      <w:r>
        <w:t>(</w:t>
      </w:r>
      <w:r>
        <w:rPr>
          <w:color w:val="0000FF"/>
        </w:rPr>
        <w:t>2018</w:t>
      </w:r>
      <w:r>
        <w:t xml:space="preserve">) show how remoteness is strongly related to access to and satisfaction with public services in rural Africa. </w:t>
      </w:r>
      <w:r>
        <w:rPr>
          <w:color w:val="0000FF"/>
        </w:rPr>
        <w:t xml:space="preserve">Fafchamps </w:t>
      </w:r>
      <w:r w:rsidR="009D78F6">
        <w:rPr>
          <w:color w:val="0000FF"/>
        </w:rPr>
        <w:t>and</w:t>
      </w:r>
      <w:r>
        <w:rPr>
          <w:color w:val="0000FF"/>
        </w:rPr>
        <w:t xml:space="preserve"> Moser </w:t>
      </w:r>
      <w:r>
        <w:t>(</w:t>
      </w:r>
      <w:r>
        <w:rPr>
          <w:color w:val="0000FF"/>
        </w:rPr>
        <w:t>2003</w:t>
      </w:r>
      <w:r>
        <w:t xml:space="preserve">), using </w:t>
      </w:r>
      <w:r>
        <w:lastRenderedPageBreak/>
        <w:t xml:space="preserve">data from Madagascar, show that crime increases with distance from urban centers and decreases with population density. </w:t>
      </w:r>
      <w:r>
        <w:rPr>
          <w:color w:val="0000FF"/>
        </w:rPr>
        <w:t xml:space="preserve">Headey, Stifel, You, </w:t>
      </w:r>
      <w:r w:rsidR="009D78F6">
        <w:rPr>
          <w:color w:val="0000FF"/>
        </w:rPr>
        <w:t>and</w:t>
      </w:r>
      <w:r>
        <w:rPr>
          <w:color w:val="0000FF"/>
        </w:rPr>
        <w:t xml:space="preserve"> Guo </w:t>
      </w:r>
      <w:r>
        <w:t>(</w:t>
      </w:r>
      <w:r>
        <w:rPr>
          <w:color w:val="0000FF"/>
        </w:rPr>
        <w:t>2018</w:t>
      </w:r>
      <w:r>
        <w:t xml:space="preserve">) find that children in Sub-Saharan Africa’s rural communities have much worse linear growth and dietary outcomes than urban children. </w:t>
      </w:r>
      <w:r>
        <w:rPr>
          <w:color w:val="0000FF"/>
        </w:rPr>
        <w:t xml:space="preserve">Passarelli-Araujo </w:t>
      </w:r>
      <w:r w:rsidR="009D78F6">
        <w:rPr>
          <w:color w:val="0000FF"/>
        </w:rPr>
        <w:t>and</w:t>
      </w:r>
      <w:r>
        <w:rPr>
          <w:color w:val="0000FF"/>
        </w:rPr>
        <w:t xml:space="preserve"> de Souza </w:t>
      </w:r>
      <w:r>
        <w:t>(</w:t>
      </w:r>
      <w:r>
        <w:rPr>
          <w:color w:val="0000FF"/>
        </w:rPr>
        <w:t>2023</w:t>
      </w:r>
      <w:r>
        <w:t xml:space="preserve">) show that Brazilian adults living in rural areas are more likely to perceive their health as poor than their urban counterparts, and the urban-rural health disparities are significant and influenced by sociodemographic attributes. </w:t>
      </w:r>
      <w:r>
        <w:rPr>
          <w:color w:val="0000FF"/>
        </w:rPr>
        <w:t xml:space="preserve">Fu, Sun, </w:t>
      </w:r>
      <w:r w:rsidR="000C2F27">
        <w:rPr>
          <w:color w:val="0000FF"/>
        </w:rPr>
        <w:t>and</w:t>
      </w:r>
      <w:r>
        <w:rPr>
          <w:color w:val="0000FF"/>
        </w:rPr>
        <w:t xml:space="preserve"> Fang </w:t>
      </w:r>
      <w:r>
        <w:t>(</w:t>
      </w:r>
      <w:r>
        <w:rPr>
          <w:color w:val="0000FF"/>
        </w:rPr>
        <w:t>2024</w:t>
      </w:r>
      <w:r>
        <w:t>) calculate the urban and rural water footprint of prefectures in China and find large urban and rural water footprint disparities with per capita urban water footprint on average over two times per capita rural water footprint. Energy consumption in Chinese urban areas is also found to be higher than that in rural areas (</w:t>
      </w:r>
      <w:r>
        <w:rPr>
          <w:color w:val="0000FF"/>
        </w:rPr>
        <w:t>Wu, Geng, Zhang, &amp; Wei</w:t>
      </w:r>
      <w:r>
        <w:t xml:space="preserve">, </w:t>
      </w:r>
      <w:r>
        <w:rPr>
          <w:color w:val="0000FF"/>
        </w:rPr>
        <w:t>2022</w:t>
      </w:r>
      <w:r>
        <w:t xml:space="preserve">; </w:t>
      </w:r>
      <w:r>
        <w:rPr>
          <w:color w:val="0000FF"/>
        </w:rPr>
        <w:t>Zhao &amp; Zhang</w:t>
      </w:r>
      <w:r>
        <w:t xml:space="preserve">, </w:t>
      </w:r>
      <w:r>
        <w:rPr>
          <w:color w:val="0000FF"/>
        </w:rPr>
        <w:t>2018</w:t>
      </w:r>
      <w:r>
        <w:t xml:space="preserve">). Given this evidence, we should expect a negative correlation between </w:t>
      </w:r>
      <w:r w:rsidR="00976C56">
        <w:t>State</w:t>
      </w:r>
      <w:r>
        <w:t xml:space="preserve"> density and the rural sector.</w:t>
      </w:r>
    </w:p>
    <w:p w14:paraId="0013694A" w14:textId="390CC767" w:rsidR="009853D3" w:rsidRDefault="00020CDB" w:rsidP="009853D3">
      <w:pPr>
        <w:spacing w:after="331"/>
        <w:ind w:left="-15" w:firstLine="339"/>
      </w:pPr>
      <w:r>
        <w:rPr>
          <w:b/>
        </w:rPr>
        <w:t xml:space="preserve">A5. </w:t>
      </w:r>
      <w:r w:rsidRPr="00115061">
        <w:rPr>
          <w:bCs/>
        </w:rPr>
        <w:t>Finally,</w:t>
      </w:r>
      <w:r>
        <w:rPr>
          <w:b/>
        </w:rPr>
        <w:t xml:space="preserve"> </w:t>
      </w:r>
      <w:r w:rsidR="00E9699E">
        <w:t>the</w:t>
      </w:r>
      <w:r w:rsidR="009853D3">
        <w:t xml:space="preserve"> </w:t>
      </w:r>
      <w:r>
        <w:t>association</w:t>
      </w:r>
      <w:r w:rsidR="009853D3">
        <w:t xml:space="preserve"> between State density and population density follow</w:t>
      </w:r>
      <w:r>
        <w:t>s</w:t>
      </w:r>
      <w:r w:rsidR="009853D3">
        <w:t xml:space="preserve"> a U</w:t>
      </w:r>
      <w:r>
        <w:t>-</w:t>
      </w:r>
      <w:r w:rsidR="009853D3">
        <w:t>shaped pattern.</w:t>
      </w:r>
    </w:p>
    <w:p w14:paraId="49EEFCDE" w14:textId="1A04E307" w:rsidR="00F5687E" w:rsidRDefault="00184BD5">
      <w:pPr>
        <w:spacing w:after="286"/>
        <w:ind w:left="-15" w:firstLine="339"/>
      </w:pPr>
      <w:r>
        <w:t>“</w:t>
      </w:r>
      <w:r w:rsidR="004F5933">
        <w:t>Population d</w:t>
      </w:r>
      <w:r>
        <w:t xml:space="preserve">ensity </w:t>
      </w:r>
      <w:r w:rsidR="004F5933">
        <w:t xml:space="preserve">increases the variance of what can happen in the territory…” </w:t>
      </w:r>
      <w:r w:rsidR="00926DFC">
        <w:t xml:space="preserve">said Nobel Prize winner Paul Romer. The role of governance is to increase the likelihood </w:t>
      </w:r>
      <w:r w:rsidR="006B6099">
        <w:t xml:space="preserve">of good things happening, such as productivity gains due to agglomeration, </w:t>
      </w:r>
      <w:r w:rsidR="00B24C2E">
        <w:t xml:space="preserve">social cohesion, and so on, while preventing bad things from happening –such as crime, </w:t>
      </w:r>
      <w:r w:rsidR="00A55EBC">
        <w:t>segregation, and the like. In that sense, it is not surprise that p</w:t>
      </w:r>
      <w:r w:rsidR="003A130B">
        <w:t xml:space="preserve">opulation density </w:t>
      </w:r>
      <w:r w:rsidR="00470FE0">
        <w:t>is closely associated to</w:t>
      </w:r>
      <w:r w:rsidR="003A130B">
        <w:t xml:space="preserve"> </w:t>
      </w:r>
      <w:r w:rsidR="00976C56">
        <w:t>State</w:t>
      </w:r>
      <w:r w:rsidR="003A130B">
        <w:t xml:space="preserve">’s performance. </w:t>
      </w:r>
      <w:r w:rsidR="003A130B">
        <w:rPr>
          <w:color w:val="0000FF"/>
        </w:rPr>
        <w:t xml:space="preserve">Goel </w:t>
      </w:r>
      <w:r w:rsidR="000C2F27">
        <w:rPr>
          <w:color w:val="0000FF"/>
        </w:rPr>
        <w:t>and</w:t>
      </w:r>
      <w:r w:rsidR="003A130B">
        <w:rPr>
          <w:color w:val="0000FF"/>
        </w:rPr>
        <w:t xml:space="preserve"> Nelson </w:t>
      </w:r>
      <w:r w:rsidR="003A130B">
        <w:t>(</w:t>
      </w:r>
      <w:r w:rsidR="003A130B">
        <w:rPr>
          <w:color w:val="0000FF"/>
        </w:rPr>
        <w:t>2010</w:t>
      </w:r>
      <w:r w:rsidR="003A130B">
        <w:t xml:space="preserve">) argue that there might be a greater chance of corrupt practices being caught or exposed in areas with dense population concentrations.  In terms of our analysis, those regions with lower population densities (presumably) would have a lower </w:t>
      </w:r>
      <w:r w:rsidR="00976C56">
        <w:t>State</w:t>
      </w:r>
      <w:r w:rsidR="003A130B">
        <w:t xml:space="preserve"> density because it could be more difficult for people to monitor the activities of </w:t>
      </w:r>
      <w:r w:rsidR="00976C56">
        <w:t xml:space="preserve">State </w:t>
      </w:r>
      <w:r w:rsidR="003A130B">
        <w:t>servants and this could mean deficiencies in public service delivery.</w:t>
      </w:r>
      <w:r w:rsidR="00B962D2">
        <w:t xml:space="preserve"> </w:t>
      </w:r>
      <w:r w:rsidR="00282923">
        <w:t xml:space="preserve">Dispersion increases the cost of State’s presence, while </w:t>
      </w:r>
      <w:r w:rsidR="00CC51CE">
        <w:t xml:space="preserve">excess agglomeration makes certain types of quality service delivery more complex. </w:t>
      </w:r>
      <w:r w:rsidR="003A130B">
        <w:rPr>
          <w:color w:val="0000FF"/>
        </w:rPr>
        <w:t xml:space="preserve">Ladd </w:t>
      </w:r>
      <w:r w:rsidR="003A130B">
        <w:t>(</w:t>
      </w:r>
      <w:r w:rsidR="003A130B">
        <w:rPr>
          <w:color w:val="0000FF"/>
        </w:rPr>
        <w:t>1992</w:t>
      </w:r>
      <w:r w:rsidR="003A130B">
        <w:t xml:space="preserve">) proposes a U-shaped relationship between density and spending on public services, implying that after an optimal density, expenditures and density would rise. More recently, </w:t>
      </w:r>
      <w:r w:rsidR="003A130B">
        <w:rPr>
          <w:color w:val="0000FF"/>
        </w:rPr>
        <w:t xml:space="preserve">de Duren </w:t>
      </w:r>
      <w:r w:rsidR="000C2F27">
        <w:rPr>
          <w:color w:val="0000FF"/>
        </w:rPr>
        <w:t>and</w:t>
      </w:r>
      <w:r w:rsidR="003A130B">
        <w:rPr>
          <w:color w:val="0000FF"/>
        </w:rPr>
        <w:t xml:space="preserve"> Compe</w:t>
      </w:r>
      <w:r w:rsidR="00CC51CE" w:rsidRPr="003670CB">
        <w:rPr>
          <w:color w:val="0000FF"/>
        </w:rPr>
        <w:t>á</w:t>
      </w:r>
      <w:r w:rsidR="003A130B">
        <w:rPr>
          <w:color w:val="0000FF"/>
        </w:rPr>
        <w:t xml:space="preserve">n </w:t>
      </w:r>
      <w:r w:rsidR="003A130B">
        <w:t>(</w:t>
      </w:r>
      <w:r w:rsidR="003A130B">
        <w:rPr>
          <w:color w:val="0000FF"/>
        </w:rPr>
        <w:t>2016</w:t>
      </w:r>
      <w:r w:rsidR="003A130B">
        <w:t xml:space="preserve">), in a study of about 8600 municipalities of Brazil, Chile, Ecuador, and Mexico, found that per capita municipal spending on public services is strongly and non-linearly correlated to urban population density and optimal expenditure levels for municipal services are achieved with densities close to 9000 residents per square kilometer. Based on these findings we propose the </w:t>
      </w:r>
      <w:r w:rsidR="00E9699E">
        <w:t>final</w:t>
      </w:r>
      <w:r w:rsidR="003A130B">
        <w:t xml:space="preserve"> hypothesis</w:t>
      </w:r>
      <w:r w:rsidR="00E9699E">
        <w:t>.</w:t>
      </w:r>
    </w:p>
    <w:p w14:paraId="530A3A55" w14:textId="2B572D88" w:rsidR="00F5687E" w:rsidRDefault="00BB7CB2">
      <w:pPr>
        <w:pStyle w:val="Heading2"/>
        <w:spacing w:after="139"/>
        <w:ind w:left="598" w:hanging="613"/>
      </w:pPr>
      <w:r>
        <w:lastRenderedPageBreak/>
        <w:t>Using the State density index to test</w:t>
      </w:r>
      <w:r w:rsidR="00A32B3F">
        <w:t xml:space="preserve"> the associations</w:t>
      </w:r>
    </w:p>
    <w:p w14:paraId="4A6CB59B" w14:textId="4A7A8542" w:rsidR="00F5687E" w:rsidRDefault="00A32B3F">
      <w:pPr>
        <w:pStyle w:val="Heading3"/>
        <w:spacing w:after="144"/>
        <w:ind w:left="752" w:hanging="767"/>
      </w:pPr>
      <w:r>
        <w:t>Available d</w:t>
      </w:r>
      <w:r w:rsidR="003A130B">
        <w:t>ata source</w:t>
      </w:r>
      <w:r>
        <w:t>s</w:t>
      </w:r>
    </w:p>
    <w:p w14:paraId="477FD645" w14:textId="1EB1B048" w:rsidR="00F5687E" w:rsidRPr="00EF7B5F" w:rsidRDefault="003A130B">
      <w:pPr>
        <w:spacing w:after="321"/>
        <w:ind w:left="-5"/>
      </w:pPr>
      <w:r>
        <w:t xml:space="preserve">Data come from IPUMS International. IPUMS International collects and distributes census microdata from around the world. </w:t>
      </w:r>
      <w:r w:rsidR="00EF7B5F">
        <w:t>The</w:t>
      </w:r>
      <w:r>
        <w:t xml:space="preserve"> main </w:t>
      </w:r>
      <w:r w:rsidR="00EF7B5F">
        <w:t>associated</w:t>
      </w:r>
      <w:r>
        <w:t xml:space="preserve"> variable is the State density index.</w:t>
      </w:r>
      <w:r>
        <w:rPr>
          <w:vertAlign w:val="superscript"/>
        </w:rPr>
        <w:footnoteReference w:id="4"/>
      </w:r>
      <w:r w:rsidR="00EF7B5F">
        <w:t xml:space="preserve"> The</w:t>
      </w:r>
      <w:r w:rsidRPr="00EF7B5F">
        <w:t xml:space="preserve"> sample includes 181 first-level administrative regions, across 9 countries: Bolivia, Brazil, Colombia, Costa Rica, Ecuador, El Salvador, Guatemala, Mexico, and Nicaragua.</w:t>
      </w:r>
    </w:p>
    <w:p w14:paraId="0E4C028A" w14:textId="21C46D56" w:rsidR="00F5687E" w:rsidRDefault="008718CC">
      <w:pPr>
        <w:pStyle w:val="Heading3"/>
        <w:spacing w:after="144"/>
        <w:ind w:left="752" w:hanging="767"/>
      </w:pPr>
      <w:r>
        <w:t xml:space="preserve">A simple model </w:t>
      </w:r>
      <w:r w:rsidR="003A130B">
        <w:t>specification</w:t>
      </w:r>
    </w:p>
    <w:p w14:paraId="150A2A13" w14:textId="744BD76F" w:rsidR="00F5687E" w:rsidRDefault="008718CC">
      <w:pPr>
        <w:spacing w:after="317"/>
        <w:ind w:left="-5"/>
      </w:pPr>
      <w:r>
        <w:t xml:space="preserve">In order to verify the empirical </w:t>
      </w:r>
      <w:r w:rsidR="00CE477C">
        <w:t>relationships, we</w:t>
      </w:r>
      <w:r w:rsidR="003A130B">
        <w:t xml:space="preserve"> </w:t>
      </w:r>
      <w:r w:rsidR="00C6172F">
        <w:t xml:space="preserve">use </w:t>
      </w:r>
      <w:r w:rsidR="003A130B">
        <w:t>a country-fixed effect model</w:t>
      </w:r>
      <w:r w:rsidR="00006039">
        <w:t xml:space="preserve"> as our main specification</w:t>
      </w:r>
      <w:r w:rsidR="003A130B">
        <w:t xml:space="preserve">. </w:t>
      </w:r>
      <w:r w:rsidR="009A0D4E" w:rsidRPr="009A0D4E">
        <w:t>This approach accounts for individual-specific effects that capture unobserved heterogeneity among countries</w:t>
      </w:r>
      <w:r w:rsidR="003A130B">
        <w:t>. We primarily use OLS to estimate the following equation:</w:t>
      </w:r>
    </w:p>
    <w:p w14:paraId="41FCC862" w14:textId="77777777" w:rsidR="00F5687E" w:rsidRDefault="003A130B">
      <w:pPr>
        <w:tabs>
          <w:tab w:val="center" w:pos="4274"/>
          <w:tab w:val="right" w:pos="8568"/>
        </w:tabs>
        <w:spacing w:after="167" w:line="259" w:lineRule="auto"/>
        <w:ind w:left="0" w:firstLine="0"/>
        <w:jc w:val="left"/>
      </w:pPr>
      <w:r>
        <w:rPr>
          <w:rFonts w:ascii="Calibri" w:eastAsia="Calibri" w:hAnsi="Calibri" w:cs="Calibri"/>
        </w:rPr>
        <w:tab/>
      </w:r>
      <w:r>
        <w:rPr>
          <w:i/>
        </w:rPr>
        <w:t>y</w:t>
      </w:r>
      <w:r>
        <w:rPr>
          <w:i/>
          <w:sz w:val="16"/>
        </w:rPr>
        <w:t xml:space="preserve">ij </w:t>
      </w:r>
      <w:r>
        <w:t xml:space="preserve">= </w:t>
      </w:r>
      <w:r>
        <w:rPr>
          <w:b/>
        </w:rPr>
        <w:t>X</w:t>
      </w:r>
      <w:r>
        <w:rPr>
          <w:i/>
          <w:sz w:val="16"/>
        </w:rPr>
        <w:t>ij</w:t>
      </w:r>
      <w:r>
        <w:rPr>
          <w:i/>
        </w:rPr>
        <w:t xml:space="preserve">β </w:t>
      </w:r>
      <w:r>
        <w:t xml:space="preserve">+ </w:t>
      </w:r>
      <w:r>
        <w:rPr>
          <w:i/>
        </w:rPr>
        <w:t>α</w:t>
      </w:r>
      <w:r>
        <w:rPr>
          <w:i/>
          <w:sz w:val="16"/>
        </w:rPr>
        <w:t xml:space="preserve">j </w:t>
      </w:r>
      <w:r>
        <w:t xml:space="preserve">+ </w:t>
      </w:r>
      <w:r>
        <w:rPr>
          <w:i/>
        </w:rPr>
        <w:t>ε</w:t>
      </w:r>
      <w:r>
        <w:rPr>
          <w:i/>
          <w:sz w:val="16"/>
        </w:rPr>
        <w:t>ij</w:t>
      </w:r>
      <w:r>
        <w:rPr>
          <w:i/>
          <w:sz w:val="16"/>
        </w:rPr>
        <w:tab/>
      </w:r>
      <w:r>
        <w:t>(4)</w:t>
      </w:r>
    </w:p>
    <w:p w14:paraId="19A03B42" w14:textId="7CD48559" w:rsidR="00F5687E" w:rsidRDefault="003A130B">
      <w:pPr>
        <w:spacing w:after="320"/>
        <w:ind w:left="-15" w:firstLine="339"/>
      </w:pPr>
      <w:r>
        <w:t xml:space="preserve">where </w:t>
      </w:r>
      <w:r>
        <w:rPr>
          <w:i/>
        </w:rPr>
        <w:t xml:space="preserve">i </w:t>
      </w:r>
      <w:r>
        <w:t xml:space="preserve">indexes first-level administrative regions and </w:t>
      </w:r>
      <w:r>
        <w:rPr>
          <w:i/>
        </w:rPr>
        <w:t xml:space="preserve">j </w:t>
      </w:r>
      <w:r>
        <w:t xml:space="preserve">countries. In addition, </w:t>
      </w:r>
      <w:r>
        <w:rPr>
          <w:i/>
        </w:rPr>
        <w:t>α</w:t>
      </w:r>
      <w:r>
        <w:rPr>
          <w:i/>
          <w:vertAlign w:val="subscript"/>
        </w:rPr>
        <w:t xml:space="preserve">j </w:t>
      </w:r>
      <w:r>
        <w:t xml:space="preserve">are country-fixed effects and </w:t>
      </w:r>
      <w:r>
        <w:rPr>
          <w:b/>
        </w:rPr>
        <w:t xml:space="preserve">X </w:t>
      </w:r>
      <w:r>
        <w:t>is a vector of region-level covariates. Our dependent variable is the State density index for each first-level administrative region in each country (</w:t>
      </w:r>
      <w:r>
        <w:rPr>
          <w:i/>
        </w:rPr>
        <w:t>y</w:t>
      </w:r>
      <w:r>
        <w:rPr>
          <w:i/>
          <w:vertAlign w:val="subscript"/>
        </w:rPr>
        <w:t>ij</w:t>
      </w:r>
      <w:r>
        <w:rPr>
          <w:i/>
        </w:rPr>
        <w:t>)</w:t>
      </w:r>
      <w:r>
        <w:t>. Our covariates are as follows: i) the area in square kilometers of the region, in thousands (K); ii) the percentage (%) of foreign-born people; iii) the % of people belonging to an indigenous group; iv) the square of the population density per square kilometer (in K); v) and the % of households located in a place designated as urban.</w:t>
      </w:r>
      <w:r w:rsidR="00864764">
        <w:rPr>
          <w:rStyle w:val="FootnoteReference"/>
        </w:rPr>
        <w:footnoteReference w:id="5"/>
      </w:r>
    </w:p>
    <w:p w14:paraId="330E1CC8" w14:textId="77777777" w:rsidR="00F5687E" w:rsidRDefault="003A130B">
      <w:pPr>
        <w:pStyle w:val="Heading3"/>
        <w:spacing w:after="171"/>
        <w:ind w:left="752" w:hanging="767"/>
      </w:pPr>
      <w:r>
        <w:t>Results</w:t>
      </w:r>
    </w:p>
    <w:p w14:paraId="3D1CF866" w14:textId="77777777" w:rsidR="00671949" w:rsidRDefault="005A5AEF" w:rsidP="00AC2FED">
      <w:pPr>
        <w:spacing w:after="268"/>
        <w:ind w:left="-5"/>
      </w:pPr>
      <w:r w:rsidRPr="005A5AEF">
        <w:t xml:space="preserve">Table 5 presents our main results. The first column lists the </w:t>
      </w:r>
      <w:r>
        <w:t>covariates</w:t>
      </w:r>
      <w:r w:rsidRPr="005A5AEF">
        <w:t>. The next three columns show results for different θ values under the fixed-effects specification. The last three columns display results using pooled regressions, an alternative specification.</w:t>
      </w:r>
      <w:r w:rsidRPr="005A5AEF" w:rsidDel="00FB005F">
        <w:t xml:space="preserve"> </w:t>
      </w:r>
      <w:r w:rsidR="00B5212A">
        <w:t xml:space="preserve">The </w:t>
      </w:r>
      <w:r w:rsidR="00B5212A" w:rsidRPr="00C545AA">
        <w:rPr>
          <w:rStyle w:val="Strong"/>
          <w:b w:val="0"/>
          <w:bCs w:val="0"/>
        </w:rPr>
        <w:t>fixed effect</w:t>
      </w:r>
      <w:r w:rsidR="00B5212A">
        <w:t xml:space="preserve"> model accounts for unobserved heterogeneity by allowing each </w:t>
      </w:r>
      <w:r w:rsidR="00671949">
        <w:t xml:space="preserve">country </w:t>
      </w:r>
      <w:r w:rsidR="00B5212A">
        <w:t xml:space="preserve">to have its own intercept, effectively controlling for time-invariant characteristics that may affect density. On the other hand, in </w:t>
      </w:r>
      <w:r w:rsidR="00B5212A" w:rsidRPr="00B5212A">
        <w:t>the</w:t>
      </w:r>
      <w:r w:rsidR="00B5212A" w:rsidRPr="00C545AA">
        <w:rPr>
          <w:b/>
          <w:bCs/>
        </w:rPr>
        <w:t xml:space="preserve"> </w:t>
      </w:r>
      <w:r w:rsidR="00B5212A" w:rsidRPr="00C545AA">
        <w:rPr>
          <w:rStyle w:val="Strong"/>
          <w:b w:val="0"/>
        </w:rPr>
        <w:t>pooled specification</w:t>
      </w:r>
      <w:r w:rsidR="00B5212A">
        <w:t xml:space="preserve"> all regions are treated as if they come from a single </w:t>
      </w:r>
      <w:r w:rsidR="00671949">
        <w:t>country</w:t>
      </w:r>
      <w:r w:rsidR="00B5212A">
        <w:t xml:space="preserve">, ignoring potential differences across </w:t>
      </w:r>
      <w:r w:rsidR="00671949">
        <w:t>countries</w:t>
      </w:r>
      <w:r w:rsidR="00B5212A">
        <w:t xml:space="preserve"> by assuming a common intercept for all units.</w:t>
      </w:r>
      <w:r w:rsidR="00671949">
        <w:t xml:space="preserve"> </w:t>
      </w:r>
    </w:p>
    <w:p w14:paraId="3F72FB46" w14:textId="48864FF8" w:rsidR="00F5687E" w:rsidRDefault="003A130B" w:rsidP="00C545AA">
      <w:pPr>
        <w:spacing w:after="285"/>
        <w:ind w:left="-15" w:firstLine="339"/>
      </w:pPr>
      <w:r>
        <w:t xml:space="preserve">We find robust evidence supporting </w:t>
      </w:r>
      <w:r w:rsidR="00FB35A6">
        <w:t>A1</w:t>
      </w:r>
      <w:r w:rsidR="00DE5B92">
        <w:t>.</w:t>
      </w:r>
      <w:r>
        <w:t xml:space="preserve"> </w:t>
      </w:r>
      <w:r w:rsidR="00585040">
        <w:t>H</w:t>
      </w:r>
      <w:r>
        <w:t xml:space="preserve">olding other variables constant, the geographic </w:t>
      </w:r>
      <w:r w:rsidR="00585040">
        <w:t>extension</w:t>
      </w:r>
      <w:r>
        <w:t xml:space="preserve"> is negatively correlated with </w:t>
      </w:r>
      <w:r w:rsidR="00976C56">
        <w:t>State</w:t>
      </w:r>
      <w:r>
        <w:t xml:space="preserve">s’ presence when </w:t>
      </w:r>
      <w:r w:rsidRPr="00115061">
        <w:rPr>
          <w:iCs/>
        </w:rPr>
        <w:t>θ</w:t>
      </w:r>
      <w:r w:rsidR="00A44D5E" w:rsidRPr="00115061">
        <w:rPr>
          <w:iCs/>
        </w:rPr>
        <w:t xml:space="preserve"> </w:t>
      </w:r>
      <w:r w:rsidR="00A44D5E" w:rsidRPr="00D46C72">
        <w:rPr>
          <w:iCs/>
        </w:rPr>
        <w:t xml:space="preserve">= </w:t>
      </w:r>
      <w:r w:rsidRPr="00D46C72">
        <w:rPr>
          <w:iCs/>
        </w:rPr>
        <w:t>0.5 (</w:t>
      </w:r>
      <w:r w:rsidRPr="00115061">
        <w:rPr>
          <w:iCs/>
        </w:rPr>
        <w:t>p</w:t>
      </w:r>
      <w:r w:rsidR="00A44D5E" w:rsidRPr="00115061">
        <w:rPr>
          <w:iCs/>
        </w:rPr>
        <w:t xml:space="preserve"> </w:t>
      </w:r>
      <w:r w:rsidRPr="00115061">
        <w:rPr>
          <w:iCs/>
        </w:rPr>
        <w:t>=</w:t>
      </w:r>
      <w:r w:rsidR="00A44D5E" w:rsidRPr="00115061">
        <w:rPr>
          <w:iCs/>
        </w:rPr>
        <w:t xml:space="preserve"> </w:t>
      </w:r>
      <w:r w:rsidRPr="00115061">
        <w:rPr>
          <w:iCs/>
        </w:rPr>
        <w:t>0.005</w:t>
      </w:r>
      <w:r w:rsidRPr="00D46C72">
        <w:rPr>
          <w:iCs/>
        </w:rPr>
        <w:t xml:space="preserve">) and </w:t>
      </w:r>
      <w:r w:rsidRPr="00115061">
        <w:rPr>
          <w:iCs/>
        </w:rPr>
        <w:t>θ</w:t>
      </w:r>
      <w:r w:rsidR="00A44D5E" w:rsidRPr="00115061">
        <w:rPr>
          <w:iCs/>
        </w:rPr>
        <w:t xml:space="preserve"> </w:t>
      </w:r>
      <w:r w:rsidRPr="00D46C72">
        <w:rPr>
          <w:iCs/>
        </w:rPr>
        <w:t>=</w:t>
      </w:r>
      <w:r w:rsidR="00A44D5E" w:rsidRPr="00D46C72">
        <w:rPr>
          <w:iCs/>
        </w:rPr>
        <w:t xml:space="preserve"> </w:t>
      </w:r>
      <w:r w:rsidRPr="00D46C72">
        <w:rPr>
          <w:iCs/>
        </w:rPr>
        <w:t>1 (</w:t>
      </w:r>
      <w:r w:rsidRPr="00115061">
        <w:rPr>
          <w:iCs/>
        </w:rPr>
        <w:t>p</w:t>
      </w:r>
      <w:r w:rsidR="00A44D5E" w:rsidRPr="00115061">
        <w:rPr>
          <w:iCs/>
        </w:rPr>
        <w:t xml:space="preserve"> </w:t>
      </w:r>
      <w:r w:rsidRPr="00115061">
        <w:rPr>
          <w:iCs/>
        </w:rPr>
        <w:t>=</w:t>
      </w:r>
      <w:r w:rsidR="00A44D5E" w:rsidRPr="00115061">
        <w:rPr>
          <w:iCs/>
        </w:rPr>
        <w:t xml:space="preserve"> </w:t>
      </w:r>
      <w:r w:rsidRPr="00115061">
        <w:rPr>
          <w:iCs/>
        </w:rPr>
        <w:t>0.023</w:t>
      </w:r>
      <w:r w:rsidRPr="00D46C72">
        <w:rPr>
          <w:iCs/>
        </w:rPr>
        <w:t>)</w:t>
      </w:r>
      <w:r>
        <w:t xml:space="preserve">. </w:t>
      </w:r>
      <w:r w:rsidR="00921569" w:rsidRPr="00921569">
        <w:t xml:space="preserve"> Interestingly, the variable loses significance when θ = 2 (p = 0.113). </w:t>
      </w:r>
      <w:r w:rsidR="00E331C9">
        <w:t>W</w:t>
      </w:r>
      <w:r w:rsidR="00921569" w:rsidRPr="00921569">
        <w:t>e</w:t>
      </w:r>
      <w:r w:rsidR="00E331C9">
        <w:t xml:space="preserve"> also</w:t>
      </w:r>
      <w:r w:rsidR="00921569" w:rsidRPr="00921569">
        <w:t xml:space="preserve"> find </w:t>
      </w:r>
      <w:r w:rsidR="00921569" w:rsidRPr="00921569">
        <w:lastRenderedPageBreak/>
        <w:t xml:space="preserve">robust evidence supporting A4. </w:t>
      </w:r>
      <w:r w:rsidR="00E331C9" w:rsidRPr="00E331C9">
        <w:t xml:space="preserve">State density is higher in areas with a greater percentage of households located in </w:t>
      </w:r>
      <w:r w:rsidR="00E331C9">
        <w:t>places</w:t>
      </w:r>
      <w:r w:rsidR="00E331C9" w:rsidRPr="00E331C9">
        <w:t xml:space="preserve"> designated as urban</w:t>
      </w:r>
      <w:r w:rsidR="00921569" w:rsidRPr="00921569">
        <w:t>, ceteris paribus, for all selected values of θ (p &lt; 0.001).</w:t>
      </w:r>
    </w:p>
    <w:p w14:paraId="391E855F" w14:textId="7B2B8A37" w:rsidR="00F5687E" w:rsidRDefault="003A130B">
      <w:pPr>
        <w:spacing w:after="285"/>
        <w:ind w:left="-15" w:firstLine="339"/>
      </w:pPr>
      <w:r>
        <w:t xml:space="preserve">Our results </w:t>
      </w:r>
      <w:r w:rsidR="005D51EA">
        <w:t>then c</w:t>
      </w:r>
      <w:r w:rsidR="00DE6E2B">
        <w:t>orroborat</w:t>
      </w:r>
      <w:r w:rsidR="005D51EA">
        <w:t xml:space="preserve">e </w:t>
      </w:r>
      <w:r>
        <w:t xml:space="preserve">that the size of a country’s territory </w:t>
      </w:r>
      <w:r w:rsidR="00DE5B92">
        <w:t>is</w:t>
      </w:r>
      <w:r>
        <w:t xml:space="preserve"> negative</w:t>
      </w:r>
      <w:r w:rsidR="00DE5B92">
        <w:t>ly associated</w:t>
      </w:r>
      <w:r>
        <w:t xml:space="preserve"> </w:t>
      </w:r>
      <w:r w:rsidR="00DE5B92">
        <w:t>with</w:t>
      </w:r>
      <w:r>
        <w:t xml:space="preserve"> the </w:t>
      </w:r>
      <w:r w:rsidR="00976C56">
        <w:t>State</w:t>
      </w:r>
      <w:r w:rsidR="00DE5B92">
        <w:t>’s</w:t>
      </w:r>
      <w:r>
        <w:t xml:space="preserve"> presence, </w:t>
      </w:r>
      <w:r w:rsidR="005D51EA">
        <w:t xml:space="preserve">which is a contribution because of the composite nature of our </w:t>
      </w:r>
      <w:r w:rsidR="00DE5B92">
        <w:t>indicator</w:t>
      </w:r>
      <w:r w:rsidR="005D51EA">
        <w:t xml:space="preserve">. </w:t>
      </w:r>
      <w:r w:rsidR="00081D02">
        <w:t xml:space="preserve">This goes beyond individual dimensions such as </w:t>
      </w:r>
      <w:r>
        <w:t>rule of law</w:t>
      </w:r>
      <w:r w:rsidR="00081D02">
        <w:t>, as</w:t>
      </w:r>
      <w:r>
        <w:t xml:space="preserve"> conducted by </w:t>
      </w:r>
      <w:r>
        <w:rPr>
          <w:color w:val="0000FF"/>
        </w:rPr>
        <w:t xml:space="preserve">Olsson </w:t>
      </w:r>
      <w:r w:rsidR="000C2F27">
        <w:rPr>
          <w:color w:val="0000FF"/>
        </w:rPr>
        <w:t>and</w:t>
      </w:r>
      <w:r>
        <w:rPr>
          <w:color w:val="0000FF"/>
        </w:rPr>
        <w:t xml:space="preserve"> Hansson </w:t>
      </w:r>
      <w:r>
        <w:t>(</w:t>
      </w:r>
      <w:r>
        <w:rPr>
          <w:color w:val="0000FF"/>
        </w:rPr>
        <w:t>2011</w:t>
      </w:r>
      <w:r>
        <w:t>). In addition, our results contribute to the literature on urban-rural disparities regarding the access and quality of public services (</w:t>
      </w:r>
      <w:r>
        <w:rPr>
          <w:color w:val="0000FF"/>
        </w:rPr>
        <w:t>World Bank</w:t>
      </w:r>
      <w:r>
        <w:t xml:space="preserve">, </w:t>
      </w:r>
      <w:r>
        <w:rPr>
          <w:color w:val="0000FF"/>
        </w:rPr>
        <w:t>2017</w:t>
      </w:r>
      <w:r>
        <w:t xml:space="preserve">; </w:t>
      </w:r>
      <w:r>
        <w:rPr>
          <w:color w:val="0000FF"/>
        </w:rPr>
        <w:t>Brinkerhoff et al.</w:t>
      </w:r>
      <w:r>
        <w:t xml:space="preserve">, </w:t>
      </w:r>
      <w:r>
        <w:rPr>
          <w:color w:val="0000FF"/>
        </w:rPr>
        <w:t>2018</w:t>
      </w:r>
      <w:r>
        <w:t xml:space="preserve">; </w:t>
      </w:r>
      <w:r>
        <w:rPr>
          <w:color w:val="0000FF"/>
        </w:rPr>
        <w:t>Headey et al.</w:t>
      </w:r>
      <w:r>
        <w:t xml:space="preserve">, </w:t>
      </w:r>
      <w:r>
        <w:rPr>
          <w:color w:val="0000FF"/>
        </w:rPr>
        <w:t>2018</w:t>
      </w:r>
      <w:r>
        <w:t xml:space="preserve">; </w:t>
      </w:r>
      <w:r>
        <w:rPr>
          <w:color w:val="0000FF"/>
        </w:rPr>
        <w:t>Passarelli</w:t>
      </w:r>
      <w:r w:rsidR="00D57262">
        <w:rPr>
          <w:color w:val="0000FF"/>
        </w:rPr>
        <w:t xml:space="preserve">, </w:t>
      </w:r>
      <w:r>
        <w:rPr>
          <w:color w:val="0000FF"/>
        </w:rPr>
        <w:t>Araujo &amp; de Souza</w:t>
      </w:r>
      <w:r>
        <w:t xml:space="preserve">, </w:t>
      </w:r>
      <w:r>
        <w:rPr>
          <w:color w:val="0000FF"/>
        </w:rPr>
        <w:t>2023</w:t>
      </w:r>
      <w:r>
        <w:t xml:space="preserve">) by showing evidence of the lower </w:t>
      </w:r>
      <w:r w:rsidR="00976C56">
        <w:t>State</w:t>
      </w:r>
      <w:r>
        <w:t>s’ presence in the rural sector.</w:t>
      </w:r>
    </w:p>
    <w:p w14:paraId="5A7AC3F1" w14:textId="506262BB" w:rsidR="002F4921" w:rsidRDefault="002F4921">
      <w:pPr>
        <w:spacing w:after="285"/>
        <w:ind w:left="-15" w:firstLine="339"/>
      </w:pPr>
      <w:r w:rsidRPr="002F4921">
        <w:t>Conversely, we find no statistical evidence supporting A2, A3, or A5. To further explore, we use pooled OLS models, where data from different countries are aggregated and analyzed together, as shown in Table 5</w:t>
      </w:r>
      <w:r w:rsidR="00AE3913">
        <w:t>, right panel</w:t>
      </w:r>
      <w:r w:rsidRPr="002F4921">
        <w:t xml:space="preserve">. These models confirm support for A1 and A4, and interestingly reveal a positive, significant relationship between our </w:t>
      </w:r>
      <w:r w:rsidR="00976C56">
        <w:t>State</w:t>
      </w:r>
      <w:r w:rsidRPr="002F4921">
        <w:t xml:space="preserve"> density index and the percentage of foreign-born</w:t>
      </w:r>
      <w:r>
        <w:t>, contrary to A2.</w:t>
      </w:r>
      <w:r w:rsidR="00AE3913">
        <w:t xml:space="preserve"> This may be due to the fact that more affluent and better served regions are attracting more foreigners who are seeking employment opportunities.</w:t>
      </w:r>
    </w:p>
    <w:p w14:paraId="1609A7E7" w14:textId="012764FF" w:rsidR="00AC2FED" w:rsidRDefault="00B0663B" w:rsidP="00AC2FED">
      <w:pPr>
        <w:spacing w:after="285"/>
        <w:ind w:left="-15" w:firstLine="339"/>
        <w:jc w:val="left"/>
        <w:rPr>
          <w:noProof/>
        </w:rPr>
      </w:pPr>
      <w:r w:rsidRPr="00B0663B">
        <w:t xml:space="preserve">Table </w:t>
      </w:r>
      <w:r>
        <w:t>5</w:t>
      </w:r>
      <w:r w:rsidRPr="00B0663B">
        <w:t xml:space="preserve">: </w:t>
      </w:r>
      <w:r w:rsidR="00AC2FED">
        <w:t xml:space="preserve">Correlates to State’s Density, different values of </w:t>
      </w:r>
      <m:oMath>
        <m:r>
          <w:rPr>
            <w:rFonts w:ascii="Cambria Math" w:hAnsi="Cambria Math"/>
          </w:rPr>
          <m:t>θ</m:t>
        </m:r>
      </m:oMath>
      <w:r w:rsidR="00A63D78">
        <w:rPr>
          <w:noProof/>
        </w:rPr>
        <w:drawing>
          <wp:inline distT="0" distB="0" distL="0" distR="0" wp14:anchorId="744D7BDA" wp14:editId="2C364F94">
            <wp:extent cx="5440680" cy="2874645"/>
            <wp:effectExtent l="0" t="0" r="7620" b="1905"/>
            <wp:docPr id="138064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42975" name="Picture 13806429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40680" cy="2874645"/>
                    </a:xfrm>
                    <a:prstGeom prst="rect">
                      <a:avLst/>
                    </a:prstGeom>
                  </pic:spPr>
                </pic:pic>
              </a:graphicData>
            </a:graphic>
          </wp:inline>
        </w:drawing>
      </w:r>
    </w:p>
    <w:p w14:paraId="3C16D065" w14:textId="048C2277" w:rsidR="00AC2FED" w:rsidRPr="00C545AA" w:rsidRDefault="00512C7E" w:rsidP="00C545AA">
      <w:pPr>
        <w:spacing w:after="285"/>
        <w:ind w:left="-15" w:firstLine="339"/>
        <w:rPr>
          <w:noProof/>
        </w:rPr>
      </w:pPr>
      <w:r>
        <w:t xml:space="preserve">In Table 6, we conduct a similar analysis using one dimension of normalized effectiveness at the time as the dependent variable, rather than the overall density index. The results largely support A4, with one caveat. Regardless of the specification, we find that the State tends to provide better basic services, education, and health in urban areas compared to rural </w:t>
      </w:r>
      <w:r>
        <w:lastRenderedPageBreak/>
        <w:t>ones. However, in terms of security, urban settlements appear to be at a disadvantage. Security is also negatively correlated with the geographic size of regions, which further supports A1. Additionally, the proportion of the indigenous population is strongly and negatively correlated with the literacy rate of adults, lending support to A</w:t>
      </w:r>
      <w:r w:rsidR="00964EFC">
        <w:t>3</w:t>
      </w:r>
      <w:r>
        <w:t>.</w:t>
      </w:r>
    </w:p>
    <w:p w14:paraId="28F42793" w14:textId="636A3F7E" w:rsidR="00AC2FED" w:rsidRDefault="00A63D78" w:rsidP="00A67646">
      <w:pPr>
        <w:spacing w:after="285"/>
        <w:ind w:left="-15" w:firstLine="339"/>
        <w:jc w:val="left"/>
      </w:pPr>
      <w:r w:rsidRPr="00A63D78">
        <w:t xml:space="preserve">Table </w:t>
      </w:r>
      <w:r>
        <w:t>6</w:t>
      </w:r>
      <w:r w:rsidRPr="00A63D78">
        <w:t xml:space="preserve">: Correlates </w:t>
      </w:r>
      <w:r>
        <w:t xml:space="preserve">of </w:t>
      </w:r>
      <w:r w:rsidRPr="00A63D78">
        <w:t xml:space="preserve">State’s </w:t>
      </w:r>
      <w:r>
        <w:t>Effectiveness</w:t>
      </w:r>
      <w:r w:rsidRPr="00A63D78">
        <w:t xml:space="preserve">, </w:t>
      </w:r>
      <w:r w:rsidRPr="00C545AA">
        <w:rPr>
          <w:i/>
          <w:iCs/>
        </w:rPr>
        <w:t>θ</w:t>
      </w:r>
      <w:r>
        <w:rPr>
          <w:i/>
          <w:iCs/>
        </w:rPr>
        <w:t xml:space="preserve"> </w:t>
      </w:r>
      <w:r>
        <w:t>= 1</w:t>
      </w:r>
    </w:p>
    <w:p w14:paraId="72EA6B9D" w14:textId="7597E419" w:rsidR="00A63D78" w:rsidRPr="00A63D78" w:rsidRDefault="00A63D78" w:rsidP="00A67646">
      <w:pPr>
        <w:spacing w:after="285"/>
        <w:ind w:left="-15" w:firstLine="339"/>
        <w:jc w:val="left"/>
      </w:pPr>
      <w:r>
        <w:rPr>
          <w:noProof/>
        </w:rPr>
        <w:drawing>
          <wp:inline distT="0" distB="0" distL="0" distR="0" wp14:anchorId="5F1680B3" wp14:editId="304D9ABF">
            <wp:extent cx="5440680" cy="2227580"/>
            <wp:effectExtent l="0" t="0" r="7620" b="1270"/>
            <wp:docPr id="1424507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07319"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0680" cy="2227580"/>
                    </a:xfrm>
                    <a:prstGeom prst="rect">
                      <a:avLst/>
                    </a:prstGeom>
                  </pic:spPr>
                </pic:pic>
              </a:graphicData>
            </a:graphic>
          </wp:inline>
        </w:drawing>
      </w:r>
    </w:p>
    <w:p w14:paraId="131AF35D" w14:textId="316B2D6A" w:rsidR="00F5687E" w:rsidRDefault="003A130B">
      <w:pPr>
        <w:pStyle w:val="Heading1"/>
        <w:spacing w:after="159"/>
        <w:ind w:left="469" w:hanging="484"/>
      </w:pPr>
      <w:r>
        <w:t>Concluding Remarks</w:t>
      </w:r>
      <w:r w:rsidR="007D6748">
        <w:t>: A</w:t>
      </w:r>
      <w:r w:rsidR="006423C9">
        <w:t xml:space="preserve"> new approach to measure State presence</w:t>
      </w:r>
    </w:p>
    <w:p w14:paraId="0BF70085" w14:textId="53CF7267" w:rsidR="00F5687E" w:rsidRDefault="003A130B">
      <w:pPr>
        <w:ind w:left="-5"/>
      </w:pPr>
      <w:r>
        <w:t xml:space="preserve">In this paper, we developed an index to measure the </w:t>
      </w:r>
      <w:r>
        <w:rPr>
          <w:i/>
        </w:rPr>
        <w:t xml:space="preserve">discontinuity </w:t>
      </w:r>
      <w:r>
        <w:t xml:space="preserve">of the State, which we define as the inconsistent presence and responsiveness of the State across its territory. Our approach consists of three steps: (i) evaluating the </w:t>
      </w:r>
      <w:r>
        <w:rPr>
          <w:i/>
        </w:rPr>
        <w:t xml:space="preserve">effectiveness </w:t>
      </w:r>
      <w:r>
        <w:t xml:space="preserve">of the State in selected dimensions within each region; (ii) summarizing this effectiveness into an index reflecting the </w:t>
      </w:r>
      <w:r>
        <w:rPr>
          <w:i/>
        </w:rPr>
        <w:t xml:space="preserve">density </w:t>
      </w:r>
      <w:r>
        <w:t xml:space="preserve">of State intervention in each region; and (iii) calculating the </w:t>
      </w:r>
      <w:r>
        <w:rPr>
          <w:i/>
        </w:rPr>
        <w:t xml:space="preserve">discontinuity </w:t>
      </w:r>
      <w:r>
        <w:t>of State intervention across different regions. We then applied the index to representative data for a total of 54</w:t>
      </w:r>
      <w:r w:rsidR="00F62BF8">
        <w:t>5</w:t>
      </w:r>
      <w:r>
        <w:t xml:space="preserve"> regions in 32 developing countries. By focusing on the dimensions of basic services, education, health, and security, we aligned our analysis with the most commonly identified priorities in international opinion surveys, including the International Social Survey Programme (ISSP) and the Global Barometer Survey (GBS).</w:t>
      </w:r>
    </w:p>
    <w:p w14:paraId="28EEB883" w14:textId="77777777" w:rsidR="00473185" w:rsidRDefault="00473185" w:rsidP="00473185">
      <w:pPr>
        <w:spacing w:after="261"/>
        <w:ind w:left="-15" w:firstLine="339"/>
      </w:pPr>
    </w:p>
    <w:p w14:paraId="1FBB3DD1" w14:textId="7F2C32C3" w:rsidR="00741934" w:rsidRPr="00741934" w:rsidRDefault="003A130B" w:rsidP="00C545AA">
      <w:pPr>
        <w:spacing w:after="261"/>
        <w:ind w:left="0" w:firstLine="0"/>
      </w:pPr>
      <w:r w:rsidRPr="00741934">
        <w:t xml:space="preserve">The analysis utilized specific indicators to measure </w:t>
      </w:r>
      <w:r w:rsidR="00976C56" w:rsidRPr="00741934">
        <w:t>State</w:t>
      </w:r>
      <w:r w:rsidRPr="00741934">
        <w:t xml:space="preserve"> effectiveness: the provision of piped water and electricity for basic services, literacy rates for education, child survival rates for health, and the frequency of peaceful days for security. These indicators were derived from IPUMS and ACLED data, ensuring a robust and representative evaluation.</w:t>
      </w:r>
    </w:p>
    <w:p w14:paraId="7FE4EBFF" w14:textId="5C525F1D" w:rsidR="006B27DD" w:rsidRDefault="006B27DD" w:rsidP="006B27DD">
      <w:pPr>
        <w:spacing w:after="261"/>
        <w:ind w:left="-15" w:firstLine="339"/>
      </w:pPr>
      <w:r>
        <w:lastRenderedPageBreak/>
        <w:t>Our findings reveal significant variations in state effectiveness across the regions analyzed, underscoring the uneven distribution of State resources and interventions within countries. In particular, regions in Latin American countries—where a large portion of our sample is drawn from—exhibited notable challenges in maintaining security, despite performing well in other key indicators such as education, health, and basic services. This suggests that while States in Latin America may have succeeded in certain social service sectors, they still face substantial obstacles in ensuring public safety and maintaining law and order, which remains a pressing issue in many of these regions.</w:t>
      </w:r>
    </w:p>
    <w:p w14:paraId="54EAEE9A" w14:textId="6FB4BA9A" w:rsidR="006B27DD" w:rsidRDefault="006B27DD" w:rsidP="006B27DD">
      <w:pPr>
        <w:spacing w:after="261"/>
        <w:ind w:left="-15" w:firstLine="339"/>
      </w:pPr>
      <w:r>
        <w:t>In contrast, Sub-Saharan African countries predominantly face challenges in providing basic services, particularly in areas such as water supply and electricity. This reflects a persistent gap in infrastructure development and the capacity of the State to meet the most basic needs of citizens in many parts of the region. The analysis also found that East Asia and Pacific countries are overrepresented among those struggling with providing water access, indicating that even relatively developed regions still face significant service delivery gaps that affect their citizens' daily lives.</w:t>
      </w:r>
    </w:p>
    <w:p w14:paraId="7B1858A1" w14:textId="6853C49E" w:rsidR="006B27DD" w:rsidRDefault="006B27DD" w:rsidP="006B27DD">
      <w:pPr>
        <w:spacing w:after="261"/>
        <w:ind w:left="-15" w:firstLine="339"/>
      </w:pPr>
      <w:r>
        <w:t xml:space="preserve">Interestingly, a few countries exhibit a relatively homogeneous State presence across their regions. For example, Haiti stands out as a case where all regions are equally under-served across the dimensions we analyzed, from education to healthcare and basic infrastructure. This uniformity of underdevelopment suggests a State that is unable to effectively extend its reach or services to any region, potentially reflecting broader governance and resource constraints. Conversely, countries like Costa Rica and Armenia display a more even distribution of State interventions, where all regions are similarly well-served. This homogeneity might indicate strong commitment to equitable service delivery across the country, which, in turn, reinforces the social compact, and overall cooperation (see </w:t>
      </w:r>
      <w:r w:rsidRPr="00C545AA">
        <w:rPr>
          <w:color w:val="0000FF"/>
        </w:rPr>
        <w:t>World Bank</w:t>
      </w:r>
      <w:r w:rsidRPr="00C545AA">
        <w:rPr>
          <w:color w:val="auto"/>
        </w:rPr>
        <w:t>,</w:t>
      </w:r>
      <w:r>
        <w:t xml:space="preserve"> </w:t>
      </w:r>
      <w:r w:rsidRPr="00C545AA">
        <w:rPr>
          <w:color w:val="0000FF"/>
        </w:rPr>
        <w:t>2017</w:t>
      </w:r>
      <w:r>
        <w:t>).</w:t>
      </w:r>
    </w:p>
    <w:p w14:paraId="41D22BF7" w14:textId="66191AE1" w:rsidR="006B27DD" w:rsidRDefault="006B27DD" w:rsidP="006B27DD">
      <w:pPr>
        <w:spacing w:after="261"/>
        <w:ind w:left="-15" w:firstLine="339"/>
      </w:pPr>
      <w:r>
        <w:t>However, the majority of the countries in our study exhibit large discontinuities in State presence. In these countries, some regions are highly serviced, with well-established public services and infrastructure, while others remain neglected, suffering from low levels of State intervention and access to basic services. This disparity can contribute to uneven development within a country, potentially exacerbating social inequality and stoking regional grievances. The fact that the ten countries with the highest levels of discontinuity are all located in Sub-Saharan Africa is noteworthy, suggesting that this region faces particular challenges in ensuring equitable distribution of State resources, which may be linked to factors such as historical patterns of governance, political instability, and resource scarcity.</w:t>
      </w:r>
    </w:p>
    <w:p w14:paraId="5B10B955" w14:textId="6A542E60" w:rsidR="00741934" w:rsidRPr="00741934" w:rsidRDefault="006B27DD" w:rsidP="006B27DD">
      <w:pPr>
        <w:spacing w:after="261"/>
        <w:ind w:left="-15" w:firstLine="339"/>
        <w:rPr>
          <w:szCs w:val="22"/>
        </w:rPr>
      </w:pPr>
      <w:r>
        <w:t xml:space="preserve">Overall, our analysis underscores the importance of considering sub-national variations in State effectiveness when designing development policies. Large regional disparities in State intervention can undermine national efforts to promote inclusive growth and stability. </w:t>
      </w:r>
      <w:r>
        <w:lastRenderedPageBreak/>
        <w:t xml:space="preserve">Addressing these discontinuities requires a more nuanced understanding of local contexts and a tailored approach that takes into account the specific needs and challenges of each region. Ensuring that State services are more evenly distributed across regions could help reduce inequalities and improve overall governance outcomes. This highlights the need for targeted policies that focus on the most underserved regions, particularly in countries where large discrepancies in service delivery persist. </w:t>
      </w:r>
      <w:r w:rsidR="00741934" w:rsidRPr="00741934">
        <w:t>The</w:t>
      </w:r>
      <w:r w:rsidR="00741934" w:rsidRPr="00741934">
        <w:rPr>
          <w:szCs w:val="22"/>
        </w:rPr>
        <w:t xml:space="preserve"> study highlights the crucial role of sub-national data in assessing State effectiveness. By examining regional disparities within countries, the paper reveals how the effectiveness of the State can vary drastically even within the same national borders. This is particularly important in developing countries, where national-level indicators may mask significant inequalities in State presence and service delivery at the local level.</w:t>
      </w:r>
    </w:p>
    <w:p w14:paraId="7031DE54" w14:textId="023F1F83" w:rsidR="00741934" w:rsidRDefault="00741934" w:rsidP="00741934">
      <w:pPr>
        <w:spacing w:after="261"/>
        <w:ind w:left="-15" w:firstLine="339"/>
        <w:rPr>
          <w:szCs w:val="22"/>
        </w:rPr>
      </w:pPr>
      <w:r w:rsidRPr="00741934">
        <w:rPr>
          <w:szCs w:val="22"/>
        </w:rPr>
        <w:t>The focus on key indicators—basic services, education, health, and security—reflects the importance of these areas in the daily lives of citizens. These are the foundational pillars on which broader development is built, and any discontinuities in their provision can have far-reaching consequences for overall national progress.</w:t>
      </w:r>
    </w:p>
    <w:p w14:paraId="3F33C6AF" w14:textId="77777777" w:rsidR="00741934" w:rsidRDefault="00741934" w:rsidP="00741934">
      <w:pPr>
        <w:spacing w:after="261"/>
        <w:ind w:left="-15" w:firstLine="339"/>
        <w:rPr>
          <w:szCs w:val="22"/>
        </w:rPr>
      </w:pPr>
      <w:r w:rsidRPr="00741934">
        <w:rPr>
          <w:szCs w:val="22"/>
        </w:rPr>
        <w:t>Policymakers should prioritize closing gaps in these basic areas, as addressing these fundamental needs can have a multiplier effect on other development goals. For example, ensuring better access to healthcare and education can improve long-term economic outcomes, while improving security can create a more stable environment for investment and growth. Efforts should focus on regions with the most pressing needs, while also ensuring that improvements in one sector do not come at the expense of others.</w:t>
      </w:r>
    </w:p>
    <w:p w14:paraId="636B56F0" w14:textId="77777777" w:rsidR="00741934" w:rsidRDefault="00741934" w:rsidP="00741934">
      <w:pPr>
        <w:spacing w:after="261"/>
        <w:ind w:left="-15" w:firstLine="339"/>
        <w:rPr>
          <w:szCs w:val="22"/>
        </w:rPr>
      </w:pPr>
      <w:r w:rsidRPr="00741934">
        <w:rPr>
          <w:szCs w:val="22"/>
        </w:rPr>
        <w:t>While the study focused on 32 developing countries and four key dimensions of State effectiveness, the findings suggest that the research could be expanded to include a wider range of countries and other indicators that may be relevant for assessing State effectiveness.</w:t>
      </w:r>
    </w:p>
    <w:p w14:paraId="1058D73F" w14:textId="4066EC6A" w:rsidR="006B27DD" w:rsidRDefault="00741934" w:rsidP="006B27DD">
      <w:pPr>
        <w:spacing w:after="261"/>
        <w:ind w:left="-15" w:firstLine="339"/>
        <w:rPr>
          <w:szCs w:val="22"/>
        </w:rPr>
      </w:pPr>
      <w:r w:rsidRPr="00741934">
        <w:rPr>
          <w:szCs w:val="22"/>
        </w:rPr>
        <w:t>Future research could incorporate additional indicators, such as infrastructure quality, economic development, or environmental sustainability, to offer a more comprehensive picture of State functionality. Moreover, expanding the geographic scope to include more countries from different regions could provide a richer understanding of how State effectiveness varies globally and help identify cross-national trends and patterns. By incorporating more dimensions and expanding the data set, researchers could generate more nuanced insights into how the State affects development outcomes.</w:t>
      </w:r>
    </w:p>
    <w:p w14:paraId="35115769" w14:textId="65A5C68A" w:rsidR="00741934" w:rsidRPr="00741934" w:rsidRDefault="00741934" w:rsidP="00741934">
      <w:pPr>
        <w:spacing w:after="261"/>
        <w:ind w:left="-15" w:firstLine="339"/>
        <w:rPr>
          <w:szCs w:val="22"/>
        </w:rPr>
      </w:pPr>
      <w:r w:rsidRPr="00741934">
        <w:rPr>
          <w:szCs w:val="22"/>
        </w:rPr>
        <w:t xml:space="preserve">In conclusion, this study offers a valuable framework for assessing the discontinuity of State intervention, emphasizing the need for localized data and targeted interventions to address regional disparities in governance. The findings underscore the importance of understanding the complex and varied challenges that different regions face, while also highlighting opportunities for improving State effectiveness through more tailored, region-specific policies. Future research should expand the scope of analysis and include additional </w:t>
      </w:r>
      <w:r w:rsidRPr="00741934">
        <w:rPr>
          <w:szCs w:val="22"/>
        </w:rPr>
        <w:lastRenderedPageBreak/>
        <w:t>dimensions of State functionality to provide a more complete understanding of governance and its implications for sustainable development.</w:t>
      </w:r>
    </w:p>
    <w:p w14:paraId="1FA460FE" w14:textId="5C0812BA" w:rsidR="00F5687E" w:rsidRPr="00741934" w:rsidRDefault="00F5687E">
      <w:pPr>
        <w:ind w:left="-15" w:firstLine="339"/>
      </w:pPr>
    </w:p>
    <w:p w14:paraId="0029A840" w14:textId="5B4FB883" w:rsidR="00171C3B" w:rsidRDefault="00171C3B">
      <w:pPr>
        <w:spacing w:after="0" w:line="240" w:lineRule="auto"/>
        <w:ind w:left="0" w:firstLine="0"/>
        <w:jc w:val="left"/>
      </w:pPr>
      <w:r>
        <w:br w:type="page"/>
      </w:r>
    </w:p>
    <w:p w14:paraId="0CE3F943" w14:textId="77777777" w:rsidR="001E6FC4" w:rsidRPr="00115061" w:rsidRDefault="001E6FC4" w:rsidP="001E6FC4">
      <w:pPr>
        <w:pStyle w:val="Heading1"/>
        <w:numPr>
          <w:ilvl w:val="0"/>
          <w:numId w:val="0"/>
        </w:numPr>
        <w:ind w:left="-5"/>
        <w:rPr>
          <w:lang w:val="es-CO"/>
        </w:rPr>
      </w:pPr>
      <w:r w:rsidRPr="00115061">
        <w:rPr>
          <w:lang w:val="es-CO"/>
        </w:rPr>
        <w:lastRenderedPageBreak/>
        <w:t>References</w:t>
      </w:r>
    </w:p>
    <w:p w14:paraId="20DE3D9C" w14:textId="77777777" w:rsidR="001E6FC4" w:rsidRDefault="001E6FC4" w:rsidP="001E6FC4">
      <w:pPr>
        <w:ind w:left="530" w:hanging="545"/>
      </w:pPr>
      <w:r w:rsidRPr="003670CB">
        <w:rPr>
          <w:lang w:val="es-419"/>
        </w:rPr>
        <w:t>Acemoglu, D., Garc</w:t>
      </w:r>
      <w:r>
        <w:rPr>
          <w:lang w:val="es-419"/>
        </w:rPr>
        <w:t>í</w:t>
      </w:r>
      <w:r w:rsidRPr="003670CB">
        <w:rPr>
          <w:lang w:val="es-419"/>
        </w:rPr>
        <w:t xml:space="preserve">a-Jimeno, C., &amp; Robinson, J. A. (2015). </w:t>
      </w:r>
      <w:r>
        <w:t xml:space="preserve">State capacity and economic development: A network approach. </w:t>
      </w:r>
      <w:r>
        <w:rPr>
          <w:i/>
        </w:rPr>
        <w:t>American Economic Review</w:t>
      </w:r>
      <w:r>
        <w:t xml:space="preserve">, </w:t>
      </w:r>
      <w:r>
        <w:rPr>
          <w:i/>
        </w:rPr>
        <w:t>105</w:t>
      </w:r>
      <w:r>
        <w:t>, 2364-2409. doi: 10.1257/AER.20140044</w:t>
      </w:r>
    </w:p>
    <w:p w14:paraId="08EE3AFA" w14:textId="77777777" w:rsidR="001E6FC4" w:rsidRDefault="001E6FC4" w:rsidP="001E6FC4">
      <w:pPr>
        <w:ind w:left="530" w:hanging="545"/>
      </w:pPr>
      <w:r>
        <w:t xml:space="preserve">Alesina, A., &amp; Glaeser, E. (2004). </w:t>
      </w:r>
      <w:r>
        <w:rPr>
          <w:i/>
        </w:rPr>
        <w:t>Fighting Poverty in the US and Europe: A World of Difference</w:t>
      </w:r>
      <w:r>
        <w:t>. Oxford University Press. doi: 10.1093/0199267669.001.0001</w:t>
      </w:r>
    </w:p>
    <w:p w14:paraId="3659503A" w14:textId="77777777" w:rsidR="001E6FC4" w:rsidRDefault="001E6FC4" w:rsidP="001E6FC4">
      <w:pPr>
        <w:ind w:left="530" w:hanging="545"/>
      </w:pPr>
      <w:r>
        <w:t xml:space="preserve">Alsan, M. (2015). The effect of the tsetse fly on african development. </w:t>
      </w:r>
      <w:r>
        <w:rPr>
          <w:i/>
        </w:rPr>
        <w:t>American Economic Review</w:t>
      </w:r>
      <w:r>
        <w:t xml:space="preserve">, </w:t>
      </w:r>
      <w:r>
        <w:rPr>
          <w:i/>
        </w:rPr>
        <w:t>105</w:t>
      </w:r>
      <w:r>
        <w:t>, 382-410. doi: 10.1257/AER.20130604</w:t>
      </w:r>
    </w:p>
    <w:p w14:paraId="01335256" w14:textId="6ED0CB63" w:rsidR="0024511E" w:rsidRDefault="0024511E" w:rsidP="001E6FC4">
      <w:pPr>
        <w:ind w:left="530" w:hanging="545"/>
      </w:pPr>
      <w:r w:rsidRPr="005D2A05">
        <w:t>Barrera-Osorio, F</w:t>
      </w:r>
      <w:r w:rsidR="00E55D84" w:rsidRPr="005D2A05">
        <w:t>.</w:t>
      </w:r>
      <w:r w:rsidRPr="005D2A05">
        <w:t>, Blakeslee</w:t>
      </w:r>
      <w:r w:rsidR="00E55D84" w:rsidRPr="005D2A05">
        <w:t>, D.</w:t>
      </w:r>
      <w:r w:rsidR="00AA4C9B" w:rsidRPr="005D2A05">
        <w:t xml:space="preserve"> </w:t>
      </w:r>
      <w:r w:rsidR="00E55D84" w:rsidRPr="005D2A05">
        <w:t>S.</w:t>
      </w:r>
      <w:r w:rsidRPr="005D2A05">
        <w:t>, Hoover</w:t>
      </w:r>
      <w:r w:rsidR="00E55D84" w:rsidRPr="005D2A05">
        <w:t>, M.</w:t>
      </w:r>
      <w:r w:rsidRPr="005D2A05">
        <w:t>, Linden</w:t>
      </w:r>
      <w:r w:rsidR="00E55D84" w:rsidRPr="005D2A05">
        <w:t>, L.</w:t>
      </w:r>
      <w:r w:rsidRPr="005D2A05">
        <w:t>, Raju</w:t>
      </w:r>
      <w:r w:rsidR="00E55D84" w:rsidRPr="005D2A05">
        <w:t>, D.</w:t>
      </w:r>
      <w:r w:rsidRPr="005D2A05">
        <w:t>,</w:t>
      </w:r>
      <w:r w:rsidR="00E55D84" w:rsidRPr="005D2A05">
        <w:t xml:space="preserve"> &amp; </w:t>
      </w:r>
      <w:r w:rsidRPr="005D2A05">
        <w:t>Ryan</w:t>
      </w:r>
      <w:r w:rsidR="00E55D84" w:rsidRPr="005D2A05">
        <w:t>, S.</w:t>
      </w:r>
      <w:r w:rsidR="008B008A" w:rsidRPr="005D2A05">
        <w:t xml:space="preserve"> </w:t>
      </w:r>
      <w:r w:rsidR="00E55D84" w:rsidRPr="005D2A05">
        <w:t>P.</w:t>
      </w:r>
      <w:r w:rsidRPr="005D2A05">
        <w:t xml:space="preserve"> (2022)</w:t>
      </w:r>
      <w:r w:rsidR="00E55D84" w:rsidRPr="005D2A05">
        <w:t>.</w:t>
      </w:r>
      <w:r w:rsidRPr="005D2A05">
        <w:t xml:space="preserve"> </w:t>
      </w:r>
      <w:r w:rsidRPr="0024511E">
        <w:t xml:space="preserve">Delivering Education to the Underserved through a Public-Private Partnership Program in Pakistan. </w:t>
      </w:r>
      <w:r w:rsidRPr="00C545AA">
        <w:rPr>
          <w:i/>
          <w:iCs/>
        </w:rPr>
        <w:t>The Review of Economics and Statistics</w:t>
      </w:r>
      <w:r w:rsidR="00DC120E">
        <w:t>,</w:t>
      </w:r>
      <w:r w:rsidRPr="0024511E">
        <w:t xml:space="preserve"> 104(3)</w:t>
      </w:r>
      <w:r w:rsidR="00DC120E">
        <w:t>,</w:t>
      </w:r>
      <w:r w:rsidRPr="0024511E">
        <w:t xml:space="preserve"> 399–416. doi: https://doi.org/10.1162/rest_a_01002</w:t>
      </w:r>
    </w:p>
    <w:p w14:paraId="1B679EE2" w14:textId="77777777" w:rsidR="001E6FC4" w:rsidRDefault="001E6FC4" w:rsidP="001E6FC4">
      <w:pPr>
        <w:ind w:left="530" w:hanging="545"/>
      </w:pPr>
      <w:r>
        <w:t xml:space="preserve">Beath, A., Christia, F., &amp; Enikolopov, R. (2012). </w:t>
      </w:r>
      <w:r>
        <w:rPr>
          <w:i/>
        </w:rPr>
        <w:t>Winning hearts and minds through development? evidence from a field experiment in afghanistan</w:t>
      </w:r>
      <w:r>
        <w:t>. Policy Research Working Papers. The World Bank. doi: 10.1596/1813-9450-6129</w:t>
      </w:r>
    </w:p>
    <w:p w14:paraId="71470776" w14:textId="77777777" w:rsidR="001E6FC4" w:rsidRDefault="001E6FC4" w:rsidP="001E6FC4">
      <w:pPr>
        <w:ind w:left="530" w:hanging="545"/>
      </w:pPr>
      <w:r>
        <w:t xml:space="preserve">Bentzen, J. S., Hariri, J. G., &amp; Robinson, J. A. (2019). Power and persistence: The indigenous roots of representative democracy. </w:t>
      </w:r>
      <w:r>
        <w:rPr>
          <w:i/>
        </w:rPr>
        <w:t>The Economic Journal</w:t>
      </w:r>
      <w:r>
        <w:t xml:space="preserve">, </w:t>
      </w:r>
      <w:r>
        <w:rPr>
          <w:i/>
        </w:rPr>
        <w:t>129</w:t>
      </w:r>
      <w:r>
        <w:t>, 678-714. doi: 10.1111/ECOJ.12568</w:t>
      </w:r>
    </w:p>
    <w:p w14:paraId="4CF61F05" w14:textId="77777777" w:rsidR="001E6FC4" w:rsidRDefault="001E6FC4" w:rsidP="001E6FC4">
      <w:pPr>
        <w:ind w:left="530" w:hanging="545"/>
      </w:pPr>
      <w:r>
        <w:t xml:space="preserve">Bereketeab, R. (2020). Education as an instrument of nation-building in postcolonial africa. </w:t>
      </w:r>
      <w:r>
        <w:rPr>
          <w:i/>
        </w:rPr>
        <w:t>Studies in Ethnicity and Nationalism</w:t>
      </w:r>
      <w:r>
        <w:t xml:space="preserve">, </w:t>
      </w:r>
      <w:r>
        <w:rPr>
          <w:i/>
        </w:rPr>
        <w:t>20</w:t>
      </w:r>
      <w:r>
        <w:t>, 71-90. doi: 10.1111/SENA.12317</w:t>
      </w:r>
    </w:p>
    <w:p w14:paraId="1910E4E6" w14:textId="5B1776E5" w:rsidR="001E6FC4" w:rsidRDefault="001E6FC4" w:rsidP="001E6FC4">
      <w:pPr>
        <w:ind w:left="530" w:hanging="545"/>
      </w:pPr>
      <w:r>
        <w:t xml:space="preserve">Besley, T., &amp; Persson, T. (2009). The origins of </w:t>
      </w:r>
      <w:r w:rsidR="00976C56">
        <w:t>State</w:t>
      </w:r>
      <w:r>
        <w:t xml:space="preserve"> capacity: Property rights, taxation, and politics. </w:t>
      </w:r>
      <w:r>
        <w:rPr>
          <w:i/>
        </w:rPr>
        <w:t>American Economic Review</w:t>
      </w:r>
      <w:r>
        <w:t xml:space="preserve">, </w:t>
      </w:r>
      <w:r>
        <w:rPr>
          <w:i/>
        </w:rPr>
        <w:t>99</w:t>
      </w:r>
      <w:r>
        <w:t>(4), 1218-44. doi: 10.1257/aer.99.4 .1218</w:t>
      </w:r>
    </w:p>
    <w:p w14:paraId="382A1C7A" w14:textId="77777777" w:rsidR="001E6FC4" w:rsidRDefault="001E6FC4" w:rsidP="001E6FC4">
      <w:pPr>
        <w:ind w:left="530" w:hanging="545"/>
      </w:pPr>
      <w:r>
        <w:t xml:space="preserve">Bondarenko, N., </w:t>
      </w:r>
      <w:r w:rsidRPr="008552D4">
        <w:t>Krasil'nikova</w:t>
      </w:r>
      <w:r>
        <w:t xml:space="preserve">, M., &amp; Shishkin, S. (2009). Public opinion about equal access to medical services. </w:t>
      </w:r>
      <w:r>
        <w:rPr>
          <w:i/>
        </w:rPr>
        <w:t>Sociological Research</w:t>
      </w:r>
      <w:r>
        <w:t xml:space="preserve">, </w:t>
      </w:r>
      <w:r>
        <w:rPr>
          <w:i/>
        </w:rPr>
        <w:t>48</w:t>
      </w:r>
      <w:r>
        <w:t>, 3-22. doi: 10.2753/SOR1061 -0154480301</w:t>
      </w:r>
    </w:p>
    <w:p w14:paraId="429354C1" w14:textId="77777777" w:rsidR="001E6FC4" w:rsidRDefault="001E6FC4" w:rsidP="001E6FC4">
      <w:pPr>
        <w:ind w:left="530" w:hanging="545"/>
      </w:pPr>
      <w:r>
        <w:t xml:space="preserve">Brady, D., &amp; Finnigan, R. (2014). Does immigration undermine public support for social policy? </w:t>
      </w:r>
      <w:r>
        <w:rPr>
          <w:i/>
        </w:rPr>
        <w:t>American Sociological Review</w:t>
      </w:r>
      <w:r>
        <w:t xml:space="preserve">, </w:t>
      </w:r>
      <w:r>
        <w:rPr>
          <w:i/>
        </w:rPr>
        <w:t>79</w:t>
      </w:r>
      <w:r>
        <w:t>(1), 17-42. doi: 10.1177/ 0003122413513022</w:t>
      </w:r>
    </w:p>
    <w:p w14:paraId="29274130" w14:textId="2E39189E" w:rsidR="001E6FC4" w:rsidRPr="00C03D40" w:rsidRDefault="001E6FC4" w:rsidP="001E6FC4">
      <w:pPr>
        <w:ind w:left="530" w:hanging="545"/>
        <w:rPr>
          <w:lang w:val="es-CO"/>
        </w:rPr>
      </w:pPr>
      <w:r>
        <w:t xml:space="preserve">Brinkerhoff, D. W., Wetterberg, A., &amp; Wibbels, E. (2018). Distance, services, and citizen perceptions of the </w:t>
      </w:r>
      <w:r w:rsidR="00976C56">
        <w:t>State</w:t>
      </w:r>
      <w:r>
        <w:t xml:space="preserve"> in rural africa. </w:t>
      </w:r>
      <w:r w:rsidRPr="00C03D40">
        <w:rPr>
          <w:i/>
          <w:lang w:val="es-CO"/>
        </w:rPr>
        <w:t>Governance</w:t>
      </w:r>
      <w:r w:rsidRPr="00C03D40">
        <w:rPr>
          <w:lang w:val="es-CO"/>
        </w:rPr>
        <w:t xml:space="preserve">, </w:t>
      </w:r>
      <w:r w:rsidRPr="00C03D40">
        <w:rPr>
          <w:i/>
          <w:lang w:val="es-CO"/>
        </w:rPr>
        <w:t>31</w:t>
      </w:r>
      <w:r w:rsidRPr="00C03D40">
        <w:rPr>
          <w:lang w:val="es-CO"/>
        </w:rPr>
        <w:t>(1), 103-124. doi: 10.1111/gove.12271</w:t>
      </w:r>
    </w:p>
    <w:p w14:paraId="61FC9671" w14:textId="77777777" w:rsidR="001E6FC4" w:rsidRDefault="001E6FC4" w:rsidP="001E6FC4">
      <w:pPr>
        <w:ind w:left="530" w:hanging="545"/>
      </w:pPr>
      <w:r w:rsidRPr="00C03D40">
        <w:rPr>
          <w:lang w:val="es-CO"/>
        </w:rPr>
        <w:t xml:space="preserve">Cuadrado-Ballesteros, B., García-Sánchez, I. M., &amp; Prado-Lorenzo, J. M. (2012). </w:t>
      </w:r>
      <w:r>
        <w:t xml:space="preserve">Effects of different modes of local public services delivery on quality of life in spain. </w:t>
      </w:r>
      <w:r>
        <w:rPr>
          <w:i/>
        </w:rPr>
        <w:t>Journal of Cleaner Production</w:t>
      </w:r>
      <w:r>
        <w:t xml:space="preserve">, </w:t>
      </w:r>
      <w:r>
        <w:rPr>
          <w:i/>
        </w:rPr>
        <w:t>37</w:t>
      </w:r>
      <w:r>
        <w:t>, 68-81. doi: 10.1016/J.JCLEPRO.2012.06.008</w:t>
      </w:r>
    </w:p>
    <w:p w14:paraId="32245C3F" w14:textId="77777777" w:rsidR="001E6FC4" w:rsidRDefault="001E6FC4" w:rsidP="001E6FC4">
      <w:pPr>
        <w:ind w:left="530" w:hanging="545"/>
      </w:pPr>
      <w:r w:rsidRPr="00A44D5E">
        <w:t xml:space="preserve">de Duren, N. L., &amp; Compeán, R. G. (2016). </w:t>
      </w:r>
      <w:r>
        <w:t xml:space="preserve">Growing resources for growing cities: Density and the cost of municipal public services in latin america. </w:t>
      </w:r>
      <w:r>
        <w:rPr>
          <w:i/>
        </w:rPr>
        <w:t>Urban Studies</w:t>
      </w:r>
      <w:r>
        <w:t xml:space="preserve">, </w:t>
      </w:r>
      <w:r>
        <w:rPr>
          <w:i/>
        </w:rPr>
        <w:t>53</w:t>
      </w:r>
      <w:r>
        <w:t>(14), 3082–3107.</w:t>
      </w:r>
    </w:p>
    <w:p w14:paraId="37F3A5A5" w14:textId="77777777" w:rsidR="001E6FC4" w:rsidRDefault="001E6FC4" w:rsidP="001E6FC4">
      <w:pPr>
        <w:ind w:left="530" w:hanging="545"/>
      </w:pPr>
      <w:r>
        <w:t xml:space="preserve">Dippel, C. (2014). Forced coexistence and economic development: Evidence from native american reservations. </w:t>
      </w:r>
      <w:r>
        <w:rPr>
          <w:i/>
        </w:rPr>
        <w:t>Econometrica</w:t>
      </w:r>
      <w:r>
        <w:t xml:space="preserve">, </w:t>
      </w:r>
      <w:r>
        <w:rPr>
          <w:i/>
        </w:rPr>
        <w:t>82</w:t>
      </w:r>
      <w:r>
        <w:t>, 2131-2165. doi: 10.3982/ECTA11423</w:t>
      </w:r>
    </w:p>
    <w:p w14:paraId="19266CBB" w14:textId="77777777" w:rsidR="001E6FC4" w:rsidRDefault="001E6FC4" w:rsidP="001E6FC4">
      <w:pPr>
        <w:ind w:left="530" w:hanging="545"/>
      </w:pPr>
      <w:r>
        <w:t xml:space="preserve">Dittmar, J. E., &amp; Meisenzahl, R. R. (2020). Public goods institutions, human capital, and growth: Evidence from german history. </w:t>
      </w:r>
      <w:r>
        <w:rPr>
          <w:i/>
        </w:rPr>
        <w:t>The Review of Economic Studies</w:t>
      </w:r>
      <w:r>
        <w:t xml:space="preserve">, </w:t>
      </w:r>
      <w:r>
        <w:rPr>
          <w:i/>
        </w:rPr>
        <w:t>87</w:t>
      </w:r>
      <w:r>
        <w:t>,</w:t>
      </w:r>
    </w:p>
    <w:p w14:paraId="722607D7" w14:textId="77777777" w:rsidR="001E6FC4" w:rsidRDefault="001E6FC4" w:rsidP="001E6FC4">
      <w:pPr>
        <w:ind w:left="555"/>
      </w:pPr>
      <w:r>
        <w:t>959-996. doi: 10.1093/RESTUD/RDZ002</w:t>
      </w:r>
    </w:p>
    <w:p w14:paraId="3807AF01" w14:textId="77777777" w:rsidR="001E6FC4" w:rsidRDefault="001E6FC4" w:rsidP="001E6FC4">
      <w:pPr>
        <w:ind w:left="530" w:hanging="545"/>
      </w:pPr>
      <w:r>
        <w:lastRenderedPageBreak/>
        <w:t xml:space="preserve">Easterly, W., &amp; Levine, R. (1997). Africa’s Growth Tragedy: Policies and Ethnic Divisions. </w:t>
      </w:r>
      <w:r>
        <w:rPr>
          <w:i/>
        </w:rPr>
        <w:t>The Quarterly Journal of Economics</w:t>
      </w:r>
      <w:r>
        <w:t xml:space="preserve">, </w:t>
      </w:r>
      <w:r>
        <w:rPr>
          <w:i/>
        </w:rPr>
        <w:t>112</w:t>
      </w:r>
      <w:r>
        <w:t>(4), 1203-1250. doi: 10.1162/ 003355300555466</w:t>
      </w:r>
    </w:p>
    <w:p w14:paraId="19D1826C" w14:textId="5F722EAD" w:rsidR="001E6FC4" w:rsidRDefault="001E6FC4" w:rsidP="001E6FC4">
      <w:pPr>
        <w:ind w:left="530" w:hanging="545"/>
      </w:pPr>
      <w:r>
        <w:t xml:space="preserve">Eger, M. A. (2010). Even in sweden: The effect of immigration on support for welfare </w:t>
      </w:r>
      <w:r w:rsidR="00976C56">
        <w:t>State</w:t>
      </w:r>
      <w:r>
        <w:t xml:space="preserve"> spending. </w:t>
      </w:r>
      <w:r>
        <w:rPr>
          <w:i/>
        </w:rPr>
        <w:t>European Sociological Review</w:t>
      </w:r>
      <w:r>
        <w:t xml:space="preserve">, </w:t>
      </w:r>
      <w:r>
        <w:rPr>
          <w:i/>
        </w:rPr>
        <w:t>26</w:t>
      </w:r>
      <w:r>
        <w:t>, 203-217. doi: 10.1093/ESR/JCP017</w:t>
      </w:r>
    </w:p>
    <w:p w14:paraId="15852089" w14:textId="3A75956A" w:rsidR="001E6FC4" w:rsidRDefault="001E6FC4" w:rsidP="001E6FC4">
      <w:pPr>
        <w:ind w:left="530" w:hanging="545"/>
      </w:pPr>
      <w:r w:rsidRPr="005D2A05">
        <w:t xml:space="preserve">Eger, M. A., &amp; Breznau, N. (2017). </w:t>
      </w:r>
      <w:r>
        <w:t xml:space="preserve">Immigration and the welfare </w:t>
      </w:r>
      <w:r w:rsidR="00976C56">
        <w:t>State</w:t>
      </w:r>
      <w:r>
        <w:t xml:space="preserve">: A cross-regional analysis of european welfare attitudes. </w:t>
      </w:r>
      <w:r>
        <w:rPr>
          <w:i/>
        </w:rPr>
        <w:t>International Journal of Comparative Sociology</w:t>
      </w:r>
      <w:r>
        <w:t xml:space="preserve">, </w:t>
      </w:r>
      <w:r>
        <w:rPr>
          <w:i/>
        </w:rPr>
        <w:t>58</w:t>
      </w:r>
      <w:r>
        <w:t>(5), 440-463. doi: 10.1177/0020715217690796</w:t>
      </w:r>
    </w:p>
    <w:p w14:paraId="55EB7AB5" w14:textId="367743FB" w:rsidR="0021748E" w:rsidRPr="0021748E" w:rsidRDefault="0021748E" w:rsidP="001E6FC4">
      <w:pPr>
        <w:ind w:left="530" w:hanging="545"/>
      </w:pPr>
      <w:r>
        <w:t>Eurostat</w:t>
      </w:r>
      <w:r w:rsidR="00C12FB6">
        <w:t>.</w:t>
      </w:r>
      <w:r>
        <w:t xml:space="preserve"> (2024)</w:t>
      </w:r>
      <w:r w:rsidR="00C12FB6">
        <w:t>.</w:t>
      </w:r>
      <w:r>
        <w:t xml:space="preserve"> </w:t>
      </w:r>
      <w:r w:rsidRPr="0021748E">
        <w:rPr>
          <w:i/>
          <w:iCs/>
        </w:rPr>
        <w:t>Regions in the European Union Nomenclature of territorial units for statistics (NUTS)</w:t>
      </w:r>
      <w:r w:rsidRPr="00C545AA">
        <w:t xml:space="preserve">, </w:t>
      </w:r>
      <w:r>
        <w:t>2024 Edition, Manuals and Guidelines.</w:t>
      </w:r>
    </w:p>
    <w:p w14:paraId="2F3DDD32" w14:textId="77777777" w:rsidR="001E6FC4" w:rsidRDefault="001E6FC4" w:rsidP="001E6FC4">
      <w:pPr>
        <w:ind w:left="530" w:hanging="545"/>
      </w:pPr>
      <w:r>
        <w:t xml:space="preserve">Fafchamps, M., &amp; Moser, C. (2003). Crime, Isolation and Law Enforcement. </w:t>
      </w:r>
      <w:r>
        <w:rPr>
          <w:i/>
        </w:rPr>
        <w:t>Journal of African Economies</w:t>
      </w:r>
      <w:r>
        <w:t xml:space="preserve">, </w:t>
      </w:r>
      <w:r>
        <w:rPr>
          <w:i/>
        </w:rPr>
        <w:t>12</w:t>
      </w:r>
      <w:r>
        <w:t>(4), 625-671. doi: 10.1093/jae/12.4.625</w:t>
      </w:r>
    </w:p>
    <w:p w14:paraId="735B8E31" w14:textId="77777777" w:rsidR="001E6FC4" w:rsidRDefault="001E6FC4" w:rsidP="001E6FC4">
      <w:pPr>
        <w:ind w:left="530" w:hanging="545"/>
      </w:pPr>
      <w:r w:rsidRPr="00C03D40">
        <w:t xml:space="preserve">Flores-Macías, G. A. (2018). </w:t>
      </w:r>
      <w:r>
        <w:t xml:space="preserve">Building support for taxation in developing countries: Experimental evidence from mexico. </w:t>
      </w:r>
      <w:r>
        <w:rPr>
          <w:i/>
        </w:rPr>
        <w:t>World Development</w:t>
      </w:r>
      <w:r>
        <w:t xml:space="preserve">, </w:t>
      </w:r>
      <w:r>
        <w:rPr>
          <w:i/>
        </w:rPr>
        <w:t>105</w:t>
      </w:r>
      <w:r>
        <w:t>, 13-24. doi: 10.1016/ j.worlddev.2017.12.014</w:t>
      </w:r>
    </w:p>
    <w:p w14:paraId="1A6AF580" w14:textId="77777777" w:rsidR="001E6FC4" w:rsidRDefault="001E6FC4" w:rsidP="001E6FC4">
      <w:pPr>
        <w:ind w:left="530" w:hanging="545"/>
      </w:pPr>
      <w:r>
        <w:t xml:space="preserve">Fu, Z., Sun, S., &amp; Fang, C. (2024). Unequal prefecture-level water footprints in china: The urban-rural divide. </w:t>
      </w:r>
      <w:r>
        <w:rPr>
          <w:i/>
        </w:rPr>
        <w:t>Science of The Total Environment</w:t>
      </w:r>
      <w:r>
        <w:t xml:space="preserve">, </w:t>
      </w:r>
      <w:r>
        <w:rPr>
          <w:i/>
        </w:rPr>
        <w:t>912</w:t>
      </w:r>
      <w:r>
        <w:t>, 169089. doi: 10.1016/ J.SCITOTENV.2023.169089</w:t>
      </w:r>
    </w:p>
    <w:p w14:paraId="1458E12E" w14:textId="1A4D6F6E" w:rsidR="001E6FC4" w:rsidRDefault="001E6FC4" w:rsidP="001E6FC4">
      <w:pPr>
        <w:spacing w:after="35"/>
        <w:ind w:left="-5"/>
      </w:pPr>
      <w:r>
        <w:t xml:space="preserve">GBS. (2020). </w:t>
      </w:r>
      <w:r>
        <w:rPr>
          <w:i/>
        </w:rPr>
        <w:t xml:space="preserve">Global barometer survey, pooled datafile. </w:t>
      </w:r>
      <w:r>
        <w:t>Taipei: Hu Fu Center for East Asia</w:t>
      </w:r>
      <w:r w:rsidR="00C12FB6">
        <w:t xml:space="preserve"> </w:t>
      </w:r>
      <w:r>
        <w:t xml:space="preserve">Democratic Studies, NTU. Retrieved from </w:t>
      </w:r>
      <w:hyperlink r:id="rId23">
        <w:r>
          <w:rPr>
            <w:rFonts w:ascii="Calibri" w:eastAsia="Calibri" w:hAnsi="Calibri" w:cs="Calibri"/>
          </w:rPr>
          <w:t>https://www.globalbarometer.net/</w:t>
        </w:r>
      </w:hyperlink>
    </w:p>
    <w:p w14:paraId="30C36599" w14:textId="77777777" w:rsidR="001E6FC4" w:rsidRDefault="001E6FC4" w:rsidP="001E6FC4">
      <w:pPr>
        <w:ind w:left="530" w:hanging="545"/>
      </w:pPr>
      <w:r>
        <w:t xml:space="preserve">Gennaioli, N., &amp; Rainer, I. (2007). The modern impact of precolonial centralization in africa. </w:t>
      </w:r>
      <w:r>
        <w:rPr>
          <w:i/>
        </w:rPr>
        <w:t>Journal of Economic Growth</w:t>
      </w:r>
      <w:r>
        <w:t xml:space="preserve">, </w:t>
      </w:r>
      <w:r>
        <w:rPr>
          <w:i/>
        </w:rPr>
        <w:t>12</w:t>
      </w:r>
      <w:r>
        <w:t>, 185-234. doi: 10.1007/S10887-007-9017-Z/ METRICS</w:t>
      </w:r>
    </w:p>
    <w:p w14:paraId="531D67C9" w14:textId="4BF1D2EE" w:rsidR="001E6FC4" w:rsidRDefault="001E6FC4" w:rsidP="001E6FC4">
      <w:pPr>
        <w:spacing w:after="4" w:line="272" w:lineRule="auto"/>
        <w:ind w:left="540" w:right="-15" w:hanging="555"/>
        <w:jc w:val="left"/>
      </w:pPr>
      <w:r>
        <w:t xml:space="preserve">Goel, R. K., &amp; Nelson, M. A. (2007). Are corrupt acts contagious?: Evidence from the united </w:t>
      </w:r>
      <w:r w:rsidR="00976C56">
        <w:t>State</w:t>
      </w:r>
      <w:r>
        <w:t xml:space="preserve">s. </w:t>
      </w:r>
      <w:r>
        <w:rPr>
          <w:i/>
        </w:rPr>
        <w:t>Journal of Policy Modeling</w:t>
      </w:r>
      <w:r>
        <w:t xml:space="preserve">, </w:t>
      </w:r>
      <w:r>
        <w:rPr>
          <w:i/>
        </w:rPr>
        <w:t>29</w:t>
      </w:r>
      <w:r>
        <w:t>, 839-850. doi: 10.1016/J.JPOLMOD .2007.09.002</w:t>
      </w:r>
    </w:p>
    <w:p w14:paraId="2A23759E" w14:textId="77777777" w:rsidR="001E6FC4" w:rsidRDefault="001E6FC4" w:rsidP="001E6FC4">
      <w:pPr>
        <w:ind w:left="530" w:hanging="545"/>
      </w:pPr>
      <w:r>
        <w:t xml:space="preserve">Goel, R. K., &amp; Nelson, M. A. (2010). Causes of corruption: History, geography and government. </w:t>
      </w:r>
      <w:r>
        <w:rPr>
          <w:i/>
        </w:rPr>
        <w:t>Journal of Policy Modeling</w:t>
      </w:r>
      <w:r>
        <w:t xml:space="preserve">, </w:t>
      </w:r>
      <w:r>
        <w:rPr>
          <w:i/>
        </w:rPr>
        <w:t>32</w:t>
      </w:r>
      <w:r>
        <w:t>, 433-447. doi: 10.1016/J.JPOLMOD .2010.05.004</w:t>
      </w:r>
    </w:p>
    <w:p w14:paraId="2D6401F2" w14:textId="77777777" w:rsidR="001E6FC4" w:rsidRDefault="001E6FC4" w:rsidP="001E6FC4">
      <w:pPr>
        <w:ind w:left="530" w:hanging="545"/>
      </w:pPr>
      <w:r>
        <w:t xml:space="preserve">Headey, D., Stifel, D., You, L., &amp; Guo, Z. (2018). Remoteness, urbanization, and child nutrition in sub-saharan africa. </w:t>
      </w:r>
      <w:r>
        <w:rPr>
          <w:i/>
        </w:rPr>
        <w:t>Agricultural Economics</w:t>
      </w:r>
      <w:r>
        <w:t xml:space="preserve">, </w:t>
      </w:r>
      <w:r>
        <w:rPr>
          <w:i/>
        </w:rPr>
        <w:t>49</w:t>
      </w:r>
      <w:r>
        <w:t>, 765-775. doi: 10.1111/ AGEC.12458</w:t>
      </w:r>
    </w:p>
    <w:p w14:paraId="70AB68B1" w14:textId="77777777" w:rsidR="001E6FC4" w:rsidRDefault="001E6FC4" w:rsidP="001E6FC4">
      <w:pPr>
        <w:ind w:left="530" w:hanging="545"/>
      </w:pPr>
      <w:r>
        <w:t xml:space="preserve">ISSP Research Group. (2018). </w:t>
      </w:r>
      <w:r>
        <w:rPr>
          <w:i/>
        </w:rPr>
        <w:t xml:space="preserve">International social survey programme: Role of government v - issp 2016. </w:t>
      </w:r>
      <w:r>
        <w:t>GESIS Data Archive, Cologne. ZA6900 Data file Version 2.0.0. doi: 10.4232/1.13052</w:t>
      </w:r>
    </w:p>
    <w:p w14:paraId="7ADC4EF3" w14:textId="77777777" w:rsidR="001E6FC4" w:rsidRDefault="001E6FC4" w:rsidP="001E6FC4">
      <w:pPr>
        <w:ind w:left="530" w:hanging="545"/>
      </w:pPr>
      <w:r>
        <w:t xml:space="preserve">Justino, P. (2015). Civil unrest and government transfers in india. </w:t>
      </w:r>
      <w:r>
        <w:rPr>
          <w:i/>
        </w:rPr>
        <w:t>IDS Evidence Report 108, Brighton: IDS</w:t>
      </w:r>
      <w:r>
        <w:t>.</w:t>
      </w:r>
    </w:p>
    <w:p w14:paraId="70CDBBD5" w14:textId="77777777" w:rsidR="001E6FC4" w:rsidRDefault="001E6FC4" w:rsidP="001E6FC4">
      <w:pPr>
        <w:ind w:left="530" w:hanging="545"/>
      </w:pPr>
      <w:r>
        <w:t xml:space="preserve">Khanna, G., &amp; Zimmermann, L. (2017). Guns and butter? fighting violence with the promise of development. </w:t>
      </w:r>
      <w:r>
        <w:rPr>
          <w:i/>
        </w:rPr>
        <w:t>Journal of Development Economics</w:t>
      </w:r>
      <w:r>
        <w:t xml:space="preserve">, </w:t>
      </w:r>
      <w:r>
        <w:rPr>
          <w:i/>
        </w:rPr>
        <w:t>124</w:t>
      </w:r>
      <w:r>
        <w:t>, 120-141. doi: 10.1016/J.JDEVECO.2016.09.006</w:t>
      </w:r>
    </w:p>
    <w:p w14:paraId="64B65E41" w14:textId="6CE480F9" w:rsidR="004C737D" w:rsidRDefault="004C737D" w:rsidP="00C545AA">
      <w:pPr>
        <w:ind w:left="530" w:hanging="545"/>
      </w:pPr>
      <w:r w:rsidRPr="004C737D">
        <w:t>Kubota, Y</w:t>
      </w:r>
      <w:r w:rsidR="00E55D84">
        <w:t>.</w:t>
      </w:r>
      <w:r w:rsidRPr="004C737D">
        <w:t>, Hidayat</w:t>
      </w:r>
      <w:r w:rsidR="00E55D84">
        <w:t>,</w:t>
      </w:r>
      <w:r w:rsidRPr="004C737D">
        <w:t xml:space="preserve"> U</w:t>
      </w:r>
      <w:r w:rsidR="00E55D84">
        <w:t>.</w:t>
      </w:r>
      <w:r w:rsidRPr="004C737D">
        <w:t xml:space="preserve"> K</w:t>
      </w:r>
      <w:r w:rsidR="00E55D84">
        <w:t>.</w:t>
      </w:r>
      <w:r w:rsidRPr="00F719D8">
        <w:t>,</w:t>
      </w:r>
      <w:r w:rsidR="00E55D84" w:rsidRPr="00F719D8">
        <w:t xml:space="preserve"> </w:t>
      </w:r>
      <w:r w:rsidRPr="00F719D8">
        <w:t>Kurosaki</w:t>
      </w:r>
      <w:r w:rsidR="00E55D84" w:rsidRPr="00F719D8">
        <w:t>, T.</w:t>
      </w:r>
      <w:r w:rsidRPr="00F719D8">
        <w:t>, Obayashi</w:t>
      </w:r>
      <w:r w:rsidR="00E55D84" w:rsidRPr="00F719D8">
        <w:t>, K.</w:t>
      </w:r>
      <w:r w:rsidRPr="00F719D8">
        <w:t>,</w:t>
      </w:r>
      <w:r w:rsidR="00E55D84" w:rsidRPr="00F719D8">
        <w:t xml:space="preserve"> &amp; </w:t>
      </w:r>
      <w:r w:rsidRPr="00F719D8">
        <w:t>Ohmura</w:t>
      </w:r>
      <w:r w:rsidR="00E55D84" w:rsidRPr="00F719D8">
        <w:t>, H.</w:t>
      </w:r>
      <w:r w:rsidRPr="00F719D8">
        <w:t>, (2024)</w:t>
      </w:r>
      <w:r w:rsidR="00E55D84" w:rsidRPr="00F719D8">
        <w:t>.</w:t>
      </w:r>
      <w:r w:rsidRPr="00F719D8">
        <w:t xml:space="preserve"> </w:t>
      </w:r>
      <w:r w:rsidRPr="004C737D">
        <w:t xml:space="preserve">Wartime service provision and post-conflict </w:t>
      </w:r>
      <w:r w:rsidR="00976C56">
        <w:t>State</w:t>
      </w:r>
      <w:r w:rsidRPr="004C737D">
        <w:t xml:space="preserve"> legitimacy: Perception-based foundation of sustainable development in Northwestern Pakistan</w:t>
      </w:r>
      <w:r w:rsidR="003B122F">
        <w:t>.</w:t>
      </w:r>
      <w:r w:rsidRPr="004C737D">
        <w:t xml:space="preserve"> </w:t>
      </w:r>
      <w:r w:rsidRPr="00C545AA">
        <w:rPr>
          <w:i/>
          <w:iCs/>
        </w:rPr>
        <w:t>World Development Perspectives</w:t>
      </w:r>
      <w:r w:rsidRPr="004C737D">
        <w:t>, 34, 100594.</w:t>
      </w:r>
      <w:r w:rsidR="003B122F">
        <w:t xml:space="preserve"> doi: </w:t>
      </w:r>
      <w:hyperlink r:id="rId24" w:history="1">
        <w:r w:rsidR="003B122F" w:rsidRPr="003B122F">
          <w:rPr>
            <w:rStyle w:val="Hyperlink"/>
          </w:rPr>
          <w:t>https://doi.org/10.1016/j.wdp.2024.100594</w:t>
        </w:r>
      </w:hyperlink>
    </w:p>
    <w:p w14:paraId="53C0F331" w14:textId="77777777" w:rsidR="001E6FC4" w:rsidRDefault="001E6FC4" w:rsidP="001E6FC4">
      <w:pPr>
        <w:ind w:left="530" w:hanging="545"/>
      </w:pPr>
      <w:r>
        <w:t xml:space="preserve">Ladd, H. F. (1992). Population growth, density and the costs of providing public services. </w:t>
      </w:r>
      <w:r>
        <w:rPr>
          <w:i/>
        </w:rPr>
        <w:t>Urban Studies</w:t>
      </w:r>
      <w:r>
        <w:t xml:space="preserve">, </w:t>
      </w:r>
      <w:r>
        <w:rPr>
          <w:i/>
        </w:rPr>
        <w:t>29</w:t>
      </w:r>
      <w:r>
        <w:t>(2), 273-295. doi: 10.1080/00420989220080321</w:t>
      </w:r>
    </w:p>
    <w:p w14:paraId="2C3E8155" w14:textId="77777777" w:rsidR="001E6FC4" w:rsidRPr="003670CB" w:rsidRDefault="001E6FC4" w:rsidP="001E6FC4">
      <w:pPr>
        <w:ind w:left="530" w:hanging="545"/>
        <w:rPr>
          <w:lang w:val="es-419"/>
        </w:rPr>
      </w:pPr>
      <w:r>
        <w:lastRenderedPageBreak/>
        <w:t xml:space="preserve">Larsen, C. A. (2011). Ethnic heterogeneity and public support for welfare: Is the american experience replicated in britain, sweden and denmark? </w:t>
      </w:r>
      <w:r w:rsidRPr="003670CB">
        <w:rPr>
          <w:i/>
          <w:lang w:val="es-419"/>
        </w:rPr>
        <w:t>Scandinavian Political Studies</w:t>
      </w:r>
      <w:r w:rsidRPr="003670CB">
        <w:rPr>
          <w:lang w:val="es-419"/>
        </w:rPr>
        <w:t xml:space="preserve">, </w:t>
      </w:r>
      <w:r w:rsidRPr="003670CB">
        <w:rPr>
          <w:i/>
          <w:lang w:val="es-419"/>
        </w:rPr>
        <w:t>34</w:t>
      </w:r>
      <w:r w:rsidRPr="003670CB">
        <w:rPr>
          <w:lang w:val="es-419"/>
        </w:rPr>
        <w:t>, 332-353. doi: 10.1111/J.1467-9477.2011.00276.X</w:t>
      </w:r>
    </w:p>
    <w:p w14:paraId="74F46E3F" w14:textId="77777777" w:rsidR="001E6FC4" w:rsidRPr="003670CB" w:rsidRDefault="001E6FC4" w:rsidP="001E6FC4">
      <w:pPr>
        <w:ind w:left="530" w:hanging="545"/>
        <w:rPr>
          <w:lang w:val="es-419"/>
        </w:rPr>
      </w:pPr>
      <w:r w:rsidRPr="003670CB">
        <w:rPr>
          <w:lang w:val="es-419"/>
        </w:rPr>
        <w:t>Latinobar</w:t>
      </w:r>
      <w:r>
        <w:rPr>
          <w:lang w:val="es-419"/>
        </w:rPr>
        <w:t>ó</w:t>
      </w:r>
      <w:r w:rsidRPr="003670CB">
        <w:rPr>
          <w:lang w:val="es-419"/>
        </w:rPr>
        <w:t xml:space="preserve">metro. (2018). </w:t>
      </w:r>
      <w:r w:rsidRPr="003670CB">
        <w:rPr>
          <w:i/>
          <w:lang w:val="es-419"/>
        </w:rPr>
        <w:t>Latinobar</w:t>
      </w:r>
      <w:r w:rsidRPr="001E4229">
        <w:rPr>
          <w:i/>
          <w:lang w:val="es-419"/>
        </w:rPr>
        <w:t>ó</w:t>
      </w:r>
      <w:r w:rsidRPr="003670CB">
        <w:rPr>
          <w:i/>
          <w:lang w:val="es-419"/>
        </w:rPr>
        <w:t>metro 2018</w:t>
      </w:r>
      <w:r w:rsidRPr="003670CB">
        <w:rPr>
          <w:lang w:val="es-419"/>
        </w:rPr>
        <w:t>. Corporaci</w:t>
      </w:r>
      <w:r w:rsidRPr="001E4229">
        <w:rPr>
          <w:lang w:val="es-419"/>
        </w:rPr>
        <w:t>ó</w:t>
      </w:r>
      <w:r w:rsidRPr="003670CB">
        <w:rPr>
          <w:lang w:val="es-419"/>
        </w:rPr>
        <w:t>n Latinobar</w:t>
      </w:r>
      <w:r w:rsidRPr="001E4229">
        <w:rPr>
          <w:lang w:val="es-419"/>
        </w:rPr>
        <w:t>ó</w:t>
      </w:r>
      <w:r w:rsidRPr="003670CB">
        <w:rPr>
          <w:lang w:val="es-419"/>
        </w:rPr>
        <w:t>metro, Santiago de Chile.</w:t>
      </w:r>
    </w:p>
    <w:p w14:paraId="603654F4" w14:textId="1534BD55" w:rsidR="001E6FC4" w:rsidRDefault="001E6FC4" w:rsidP="001E6FC4">
      <w:pPr>
        <w:ind w:left="530" w:hanging="545"/>
      </w:pPr>
      <w:r>
        <w:t xml:space="preserve">Mcloughlin, C. (2024). Public services as carriers of ideas that (de-) legitimise the </w:t>
      </w:r>
      <w:r w:rsidR="00976C56">
        <w:t>State</w:t>
      </w:r>
      <w:r>
        <w:t xml:space="preserve">: The illustrative case of free education in sri lanka. </w:t>
      </w:r>
      <w:r>
        <w:rPr>
          <w:i/>
        </w:rPr>
        <w:t>World Development</w:t>
      </w:r>
      <w:r>
        <w:t xml:space="preserve">, </w:t>
      </w:r>
      <w:r>
        <w:rPr>
          <w:i/>
        </w:rPr>
        <w:t>173</w:t>
      </w:r>
      <w:r>
        <w:t>, 106439. doi: 10.1016/J.WORLDDEV.2023.106439</w:t>
      </w:r>
    </w:p>
    <w:p w14:paraId="1F660E67" w14:textId="77777777" w:rsidR="001E6FC4" w:rsidRDefault="001E6FC4" w:rsidP="001E6FC4">
      <w:pPr>
        <w:ind w:left="530" w:hanging="545"/>
      </w:pPr>
      <w:r>
        <w:t xml:space="preserve">Michalopoulos, S., &amp; Papaioannou, E. (2013). Pre-colonial ethnic institutions and contemporary african development. </w:t>
      </w:r>
      <w:r>
        <w:rPr>
          <w:i/>
        </w:rPr>
        <w:t>Econometrica</w:t>
      </w:r>
      <w:r>
        <w:t xml:space="preserve">, </w:t>
      </w:r>
      <w:r>
        <w:rPr>
          <w:i/>
        </w:rPr>
        <w:t>81</w:t>
      </w:r>
      <w:r>
        <w:t>, 113-152. doi: 10.3982/ECTA9613</w:t>
      </w:r>
    </w:p>
    <w:p w14:paraId="29433F44" w14:textId="527C4EA5" w:rsidR="001E6FC4" w:rsidRDefault="001E6FC4" w:rsidP="001E6FC4">
      <w:pPr>
        <w:spacing w:after="14" w:line="264" w:lineRule="auto"/>
        <w:ind w:left="530" w:right="-15" w:hanging="545"/>
      </w:pPr>
      <w:r>
        <w:t xml:space="preserve">Migdal, J. S. (1988). </w:t>
      </w:r>
      <w:r>
        <w:rPr>
          <w:i/>
        </w:rPr>
        <w:t xml:space="preserve">Strong societies and weak </w:t>
      </w:r>
      <w:r w:rsidR="00976C56">
        <w:rPr>
          <w:i/>
        </w:rPr>
        <w:t>State</w:t>
      </w:r>
      <w:r>
        <w:rPr>
          <w:i/>
        </w:rPr>
        <w:t xml:space="preserve">s: State-society relations and </w:t>
      </w:r>
      <w:r w:rsidR="00976C56">
        <w:rPr>
          <w:i/>
        </w:rPr>
        <w:t>State</w:t>
      </w:r>
      <w:r>
        <w:rPr>
          <w:i/>
        </w:rPr>
        <w:t xml:space="preserve"> capabilities in the third world</w:t>
      </w:r>
      <w:r>
        <w:t>. Princeton University Press.</w:t>
      </w:r>
    </w:p>
    <w:p w14:paraId="13DECFE0" w14:textId="77777777" w:rsidR="001E6FC4" w:rsidRDefault="001E6FC4" w:rsidP="001E6FC4">
      <w:pPr>
        <w:ind w:left="530" w:hanging="545"/>
      </w:pPr>
      <w:r>
        <w:t xml:space="preserve">Minnesota Population Center. (2020). </w:t>
      </w:r>
      <w:r>
        <w:rPr>
          <w:i/>
        </w:rPr>
        <w:t xml:space="preserve">Ipums International: D020.V7.3. </w:t>
      </w:r>
      <w:r>
        <w:t>Integrated Public Use Microdata Series, International: Version 7.3 [dataset]. Minneapolis, MN: IPUMS, 2020. doi: 0.18128/D020.V7.3</w:t>
      </w:r>
    </w:p>
    <w:p w14:paraId="65D97261" w14:textId="77777777" w:rsidR="001E6FC4" w:rsidRDefault="001E6FC4" w:rsidP="001E6FC4">
      <w:pPr>
        <w:ind w:left="530" w:hanging="545"/>
      </w:pPr>
      <w:r>
        <w:t xml:space="preserve">Mobarak, A. M., Rajkumar, A. S., &amp; Cropper, M. (2011). The political economy of health services provision in brazil. </w:t>
      </w:r>
      <w:r>
        <w:rPr>
          <w:i/>
        </w:rPr>
        <w:t>Economic Development and Cultural Change</w:t>
      </w:r>
      <w:r>
        <w:t xml:space="preserve">, </w:t>
      </w:r>
      <w:r>
        <w:rPr>
          <w:i/>
        </w:rPr>
        <w:t>59</w:t>
      </w:r>
      <w:r>
        <w:t>, 723-751. doi: 10.1086/660001/0</w:t>
      </w:r>
    </w:p>
    <w:p w14:paraId="6205E14E" w14:textId="05E1EC7B" w:rsidR="001E6FC4" w:rsidRDefault="001E6FC4" w:rsidP="001E6FC4">
      <w:pPr>
        <w:spacing w:after="14" w:line="264" w:lineRule="auto"/>
        <w:ind w:left="530" w:right="-15" w:hanging="545"/>
      </w:pPr>
      <w:r>
        <w:t xml:space="preserve">O’Donnell, G. (2010). </w:t>
      </w:r>
      <w:r>
        <w:rPr>
          <w:i/>
        </w:rPr>
        <w:t xml:space="preserve">Democracy, agency and the </w:t>
      </w:r>
      <w:r w:rsidR="00976C56">
        <w:rPr>
          <w:i/>
        </w:rPr>
        <w:t>State</w:t>
      </w:r>
      <w:r>
        <w:rPr>
          <w:i/>
        </w:rPr>
        <w:t>: Theory with comparative intent</w:t>
      </w:r>
      <w:r>
        <w:t>. Oxford University Press.</w:t>
      </w:r>
    </w:p>
    <w:p w14:paraId="16A16706" w14:textId="77777777" w:rsidR="001E6FC4" w:rsidRDefault="001E6FC4" w:rsidP="001E6FC4">
      <w:pPr>
        <w:spacing w:after="4" w:line="272" w:lineRule="auto"/>
        <w:ind w:left="540" w:right="-15" w:hanging="555"/>
        <w:jc w:val="left"/>
      </w:pPr>
      <w:r>
        <w:t>Olsson, O., &amp; Hansson, G.</w:t>
      </w:r>
      <w:r>
        <w:tab/>
        <w:t>(2011, 6).</w:t>
      </w:r>
      <w:r>
        <w:tab/>
        <w:t>Country size and the rule of law:</w:t>
      </w:r>
      <w:r>
        <w:tab/>
        <w:t>Resuscitating montesquieu.</w:t>
      </w:r>
      <w:r>
        <w:tab/>
      </w:r>
      <w:r>
        <w:rPr>
          <w:i/>
        </w:rPr>
        <w:t>European Economic Review</w:t>
      </w:r>
      <w:r>
        <w:t xml:space="preserve">, </w:t>
      </w:r>
      <w:r>
        <w:rPr>
          <w:i/>
        </w:rPr>
        <w:t>55</w:t>
      </w:r>
      <w:r>
        <w:t>, 613-629.</w:t>
      </w:r>
      <w:r>
        <w:tab/>
        <w:t>doi: 10.1016/ J.EUROECOREV.2010.09.008</w:t>
      </w:r>
    </w:p>
    <w:p w14:paraId="48FA040E" w14:textId="437B0E4B" w:rsidR="001E6FC4" w:rsidRDefault="001E6FC4" w:rsidP="001E6FC4">
      <w:pPr>
        <w:ind w:left="530" w:hanging="545"/>
      </w:pPr>
      <w:r w:rsidRPr="005D2A05">
        <w:t xml:space="preserve">Passarelli-Araujo, H., &amp; de Souza, G. M. (2023). </w:t>
      </w:r>
      <w:r>
        <w:t xml:space="preserve">Urban-rural health disparities in brazil: Do sociodemographic attributes play a role? </w:t>
      </w:r>
      <w:r>
        <w:rPr>
          <w:i/>
        </w:rPr>
        <w:t>Preventive Medicine</w:t>
      </w:r>
      <w:r>
        <w:t xml:space="preserve">, </w:t>
      </w:r>
      <w:r>
        <w:rPr>
          <w:i/>
        </w:rPr>
        <w:t>175</w:t>
      </w:r>
      <w:r>
        <w:t xml:space="preserve">, 107679. doi: </w:t>
      </w:r>
      <w:hyperlink r:id="rId25" w:history="1">
        <w:r w:rsidR="00C076FF" w:rsidRPr="00020B00">
          <w:rPr>
            <w:rStyle w:val="Hyperlink"/>
          </w:rPr>
          <w:t>https://doi.org/10.1016/j.ypmed.2023.107679</w:t>
        </w:r>
      </w:hyperlink>
    </w:p>
    <w:p w14:paraId="7FEF5D39" w14:textId="13ECA6F9" w:rsidR="00C076FF" w:rsidRDefault="00C076FF" w:rsidP="001E6FC4">
      <w:pPr>
        <w:ind w:left="530" w:hanging="545"/>
      </w:pPr>
      <w:r w:rsidRPr="00C076FF">
        <w:t>Poutvaara, P.,</w:t>
      </w:r>
      <w:r w:rsidR="002D687B">
        <w:t xml:space="preserve"> &amp;</w:t>
      </w:r>
      <w:r w:rsidRPr="00C076FF">
        <w:t xml:space="preserve"> Jordahl, H.</w:t>
      </w:r>
      <w:r w:rsidR="007B1523">
        <w:t xml:space="preserve"> (2020).</w:t>
      </w:r>
      <w:r w:rsidRPr="00C076FF">
        <w:t xml:space="preserve"> Public sector outsourcing. IZA World of Labor</w:t>
      </w:r>
      <w:r w:rsidR="007B1523">
        <w:t>,</w:t>
      </w:r>
      <w:r w:rsidRPr="00C076FF">
        <w:t xml:space="preserve"> 65</w:t>
      </w:r>
      <w:r w:rsidR="002C629A">
        <w:t>.</w:t>
      </w:r>
      <w:r w:rsidRPr="00C076FF">
        <w:t xml:space="preserve"> doi: </w:t>
      </w:r>
      <w:hyperlink r:id="rId26" w:history="1">
        <w:r w:rsidR="002C629A" w:rsidRPr="002C629A">
          <w:rPr>
            <w:rStyle w:val="Hyperlink"/>
          </w:rPr>
          <w:t>https://doi.org/10.15185/izawol.65.v2</w:t>
        </w:r>
      </w:hyperlink>
    </w:p>
    <w:p w14:paraId="29591779" w14:textId="16527B5C" w:rsidR="008609CB" w:rsidRPr="008609CB" w:rsidRDefault="008609CB" w:rsidP="001E6FC4">
      <w:pPr>
        <w:ind w:left="530" w:hanging="545"/>
      </w:pPr>
      <w:r w:rsidRPr="008609CB">
        <w:t>Raleigh, C., Kishi, R. &amp; Linke, A.</w:t>
      </w:r>
      <w:r>
        <w:t xml:space="preserve"> (2023).</w:t>
      </w:r>
      <w:r w:rsidRPr="008609CB">
        <w:t xml:space="preserve"> Political instability patterns are obscured by conflict dataset scope conditions, sources, and coding choices.</w:t>
      </w:r>
      <w:r>
        <w:t xml:space="preserve"> </w:t>
      </w:r>
      <w:r w:rsidRPr="00C545AA">
        <w:rPr>
          <w:i/>
          <w:iCs/>
        </w:rPr>
        <w:t>Humanities and Social Sciences Communications</w:t>
      </w:r>
      <w:r>
        <w:t>, 10(1), 74-17</w:t>
      </w:r>
      <w:r w:rsidR="007B1523">
        <w:t xml:space="preserve">. doi: </w:t>
      </w:r>
      <w:hyperlink r:id="rId27" w:history="1">
        <w:bookmarkStart w:id="11" w:name="_Hlk189178068"/>
        <w:r w:rsidR="007B1523" w:rsidRPr="007B1523">
          <w:rPr>
            <w:rStyle w:val="Hyperlink"/>
          </w:rPr>
          <w:t>https://doi.org/</w:t>
        </w:r>
        <w:bookmarkEnd w:id="11"/>
        <w:r w:rsidR="007B1523" w:rsidRPr="007B1523">
          <w:rPr>
            <w:rStyle w:val="Hyperlink"/>
          </w:rPr>
          <w:t>10.1057/s41599-023-01559-4</w:t>
        </w:r>
      </w:hyperlink>
    </w:p>
    <w:p w14:paraId="3A7A73BD" w14:textId="78CE53CE" w:rsidR="001E6FC4" w:rsidRDefault="001E6FC4" w:rsidP="001E6FC4">
      <w:pPr>
        <w:ind w:left="530" w:hanging="545"/>
      </w:pPr>
      <w:r>
        <w:t xml:space="preserve">Ratigan, K. (2022). Riding the tiger of performance legitimacy? chinese villagers’ satisfaction with </w:t>
      </w:r>
      <w:r w:rsidR="00976C56">
        <w:t>State</w:t>
      </w:r>
      <w:r>
        <w:t xml:space="preserve"> healthcare provision. </w:t>
      </w:r>
      <w:r>
        <w:rPr>
          <w:i/>
        </w:rPr>
        <w:t>International Political Science Review</w:t>
      </w:r>
      <w:r>
        <w:t xml:space="preserve">, </w:t>
      </w:r>
      <w:r>
        <w:rPr>
          <w:i/>
        </w:rPr>
        <w:t>43</w:t>
      </w:r>
      <w:r>
        <w:t>(2), 259-278. doi: 10.1177/0192512120927482</w:t>
      </w:r>
    </w:p>
    <w:p w14:paraId="06B6EDA9" w14:textId="1E71EC44" w:rsidR="001E6FC4" w:rsidRPr="00C03D40" w:rsidRDefault="001E6FC4" w:rsidP="001E6FC4">
      <w:pPr>
        <w:ind w:left="530" w:hanging="545"/>
        <w:rPr>
          <w:lang w:val="es-CO"/>
        </w:rPr>
      </w:pPr>
      <w:r w:rsidRPr="005D2A05">
        <w:t xml:space="preserve">Roosma, F., Gelissen, J., &amp; van Oorschot, W. (2013). </w:t>
      </w:r>
      <w:r>
        <w:t xml:space="preserve">The multidimensionality of welfare </w:t>
      </w:r>
      <w:r w:rsidR="00976C56">
        <w:t>State</w:t>
      </w:r>
      <w:r>
        <w:t xml:space="preserve"> attitudes: A european cross-national study. </w:t>
      </w:r>
      <w:r w:rsidRPr="00C03D40">
        <w:rPr>
          <w:i/>
          <w:lang w:val="es-CO"/>
        </w:rPr>
        <w:t>Social Indicators Research</w:t>
      </w:r>
      <w:r w:rsidRPr="00C03D40">
        <w:rPr>
          <w:lang w:val="es-CO"/>
        </w:rPr>
        <w:t xml:space="preserve">, </w:t>
      </w:r>
      <w:r w:rsidRPr="00C03D40">
        <w:rPr>
          <w:i/>
          <w:lang w:val="es-CO"/>
        </w:rPr>
        <w:t>113</w:t>
      </w:r>
      <w:r w:rsidRPr="00C03D40">
        <w:rPr>
          <w:lang w:val="es-CO"/>
        </w:rPr>
        <w:t>, 235-255. doi: 10.1007/S11205-012-0099-4/TABLES/8</w:t>
      </w:r>
    </w:p>
    <w:p w14:paraId="32C81143" w14:textId="1381ABDF" w:rsidR="001E6FC4" w:rsidRDefault="001E6FC4" w:rsidP="001E6FC4">
      <w:pPr>
        <w:ind w:left="530" w:hanging="545"/>
      </w:pPr>
      <w:r w:rsidRPr="003670CB">
        <w:rPr>
          <w:lang w:val="es-419"/>
        </w:rPr>
        <w:t xml:space="preserve">Sánchez de la Sierra, R. (2020). </w:t>
      </w:r>
      <w:r>
        <w:t xml:space="preserve">On the origins of the </w:t>
      </w:r>
      <w:r w:rsidR="00976C56">
        <w:t>State</w:t>
      </w:r>
      <w:r>
        <w:t xml:space="preserve">: Stationary bandits and taxation in eastern congo. </w:t>
      </w:r>
      <w:r>
        <w:rPr>
          <w:i/>
        </w:rPr>
        <w:t>Journal of Political Economy</w:t>
      </w:r>
      <w:r>
        <w:t xml:space="preserve">, </w:t>
      </w:r>
      <w:r>
        <w:rPr>
          <w:i/>
        </w:rPr>
        <w:t>128</w:t>
      </w:r>
      <w:r>
        <w:t>(1), 32-74. doi: 10.1086/703989</w:t>
      </w:r>
    </w:p>
    <w:p w14:paraId="404AF8E7" w14:textId="70AB4235" w:rsidR="001E6FC4" w:rsidRPr="001512DA" w:rsidRDefault="001E6FC4" w:rsidP="001E6FC4">
      <w:pPr>
        <w:spacing w:after="0" w:line="240" w:lineRule="auto"/>
        <w:ind w:left="0" w:firstLine="0"/>
        <w:jc w:val="left"/>
      </w:pPr>
      <w:r w:rsidRPr="00C03D40">
        <w:lastRenderedPageBreak/>
        <w:t>Scott, J. C. (1998).</w:t>
      </w:r>
      <w:r w:rsidRPr="001512DA">
        <w:rPr>
          <w:rFonts w:ascii="Times New Roman" w:eastAsia="Times New Roman" w:hAnsi="Times New Roman" w:cs="Times New Roman"/>
          <w:color w:val="auto"/>
          <w:kern w:val="0"/>
          <w:sz w:val="24"/>
          <w14:ligatures w14:val="none"/>
        </w:rPr>
        <w:t xml:space="preserve"> </w:t>
      </w:r>
      <w:r w:rsidRPr="00C03D40">
        <w:rPr>
          <w:i/>
        </w:rPr>
        <w:t xml:space="preserve">Seeing like a </w:t>
      </w:r>
      <w:r w:rsidR="00976C56">
        <w:rPr>
          <w:i/>
        </w:rPr>
        <w:t>State</w:t>
      </w:r>
      <w:r w:rsidRPr="00C03D40">
        <w:rPr>
          <w:i/>
        </w:rPr>
        <w:t>: How certain schemes to improve the human condition have failed</w:t>
      </w:r>
      <w:r w:rsidRPr="00C03D40">
        <w:t xml:space="preserve">. Yale University Press. </w:t>
      </w:r>
    </w:p>
    <w:p w14:paraId="173B8D4A" w14:textId="77777777" w:rsidR="001E6FC4" w:rsidRDefault="001E6FC4" w:rsidP="001E6FC4">
      <w:pPr>
        <w:ind w:left="530" w:hanging="545"/>
      </w:pPr>
      <w:r>
        <w:t xml:space="preserve">Stiglitz, J., Sen, A., &amp; Fitoussi, J. (2009). Report of the commission on the measurement of economic performance and social progress. </w:t>
      </w:r>
      <w:r>
        <w:rPr>
          <w:i/>
        </w:rPr>
        <w:t>INSEE</w:t>
      </w:r>
      <w:r>
        <w:t>.</w:t>
      </w:r>
    </w:p>
    <w:p w14:paraId="62A7FB6A" w14:textId="77777777" w:rsidR="001E6FC4" w:rsidRDefault="001E6FC4" w:rsidP="001E6FC4">
      <w:pPr>
        <w:ind w:left="530" w:hanging="545"/>
      </w:pPr>
      <w:r>
        <w:t xml:space="preserve">Tilly, C. (2009). Foreword. In I. W. Martin, A. K. Mehrotra, &amp; M. Prasad (Eds.), </w:t>
      </w:r>
      <w:r>
        <w:rPr>
          <w:i/>
        </w:rPr>
        <w:t xml:space="preserve">The new fiscal sociology: Taxation in comparative and historical perspective </w:t>
      </w:r>
      <w:r>
        <w:t>(pp. xi–xiv).</w:t>
      </w:r>
    </w:p>
    <w:p w14:paraId="6164FFCD" w14:textId="77777777" w:rsidR="001E6FC4" w:rsidRDefault="001E6FC4" w:rsidP="001E6FC4">
      <w:pPr>
        <w:ind w:left="555"/>
      </w:pPr>
      <w:r>
        <w:t>Cambridge University Press.</w:t>
      </w:r>
    </w:p>
    <w:p w14:paraId="7AB643B2" w14:textId="77777777" w:rsidR="001E6FC4" w:rsidRDefault="001E6FC4" w:rsidP="001E6FC4">
      <w:pPr>
        <w:ind w:left="530" w:hanging="545"/>
      </w:pPr>
      <w:r>
        <w:t xml:space="preserve">UNDP. (2017). </w:t>
      </w:r>
      <w:r>
        <w:rPr>
          <w:i/>
        </w:rPr>
        <w:t>Human development report 2016</w:t>
      </w:r>
      <w:r>
        <w:t>. United Nations. doi: 10.18356/b6186701-en</w:t>
      </w:r>
    </w:p>
    <w:p w14:paraId="3D4FF6E7" w14:textId="77777777" w:rsidR="001E6FC4" w:rsidRDefault="001E6FC4" w:rsidP="001E6FC4">
      <w:pPr>
        <w:ind w:left="530" w:hanging="545"/>
      </w:pPr>
      <w:r>
        <w:t xml:space="preserve">World Bank. (2017). </w:t>
      </w:r>
      <w:r>
        <w:rPr>
          <w:i/>
        </w:rPr>
        <w:t>World Development Report 2017: Governance and the Law</w:t>
      </w:r>
      <w:r>
        <w:t>. Washington, DC: World Bank. doi: 10.1596/978-1-4648-0950-7</w:t>
      </w:r>
    </w:p>
    <w:p w14:paraId="3FBFE3B2" w14:textId="77777777" w:rsidR="001E6FC4" w:rsidRDefault="001E6FC4" w:rsidP="001E6FC4">
      <w:pPr>
        <w:ind w:left="530" w:hanging="545"/>
      </w:pPr>
      <w:r>
        <w:t xml:space="preserve">Wu, D., Geng, Y., Zhang, Y., &amp; Wei, W. (2022). Features and drivers of china’s urbanrural household electricity consumption: Evidence from residential survey. </w:t>
      </w:r>
      <w:r>
        <w:rPr>
          <w:i/>
        </w:rPr>
        <w:t>Journal of Cleaner Production</w:t>
      </w:r>
      <w:r>
        <w:t xml:space="preserve">, </w:t>
      </w:r>
      <w:r>
        <w:rPr>
          <w:i/>
        </w:rPr>
        <w:t>365</w:t>
      </w:r>
      <w:r>
        <w:t>, 132837. doi: 10.1016/J.JCLEPRO.2022.132837</w:t>
      </w:r>
    </w:p>
    <w:p w14:paraId="6676FD52" w14:textId="2B60B3C3" w:rsidR="005D7422" w:rsidRDefault="005D7422" w:rsidP="001E6FC4">
      <w:pPr>
        <w:ind w:left="530" w:hanging="545"/>
      </w:pPr>
      <w:r>
        <w:t>Yitzhaki, S. (1979)</w:t>
      </w:r>
      <w:r w:rsidR="000C255B">
        <w:t>.</w:t>
      </w:r>
      <w:r>
        <w:t xml:space="preserve"> Relative Deprivation and the Gini Coefficient, </w:t>
      </w:r>
      <w:r w:rsidRPr="00C545AA">
        <w:rPr>
          <w:i/>
          <w:iCs/>
        </w:rPr>
        <w:t>The Quarterly Journal of Economics</w:t>
      </w:r>
      <w:r>
        <w:t>, 93</w:t>
      </w:r>
      <w:r w:rsidR="003C320B">
        <w:t>(</w:t>
      </w:r>
      <w:r>
        <w:t>2</w:t>
      </w:r>
      <w:r w:rsidR="003C320B">
        <w:t>)</w:t>
      </w:r>
      <w:r>
        <w:t>, 321-324.</w:t>
      </w:r>
      <w:r w:rsidR="003C320B">
        <w:t xml:space="preserve"> doi: </w:t>
      </w:r>
      <w:hyperlink r:id="rId28" w:history="1">
        <w:r w:rsidR="003C320B" w:rsidRPr="003C320B">
          <w:rPr>
            <w:rStyle w:val="Hyperlink"/>
          </w:rPr>
          <w:t>https://doi.org/10.2307/1885095</w:t>
        </w:r>
      </w:hyperlink>
    </w:p>
    <w:p w14:paraId="3F8EED18" w14:textId="77777777" w:rsidR="001E6FC4" w:rsidRDefault="001E6FC4" w:rsidP="001E6FC4">
      <w:pPr>
        <w:ind w:left="530" w:hanging="545"/>
      </w:pPr>
      <w:r>
        <w:t xml:space="preserve">Zhao, P., &amp; Zhang, M. (2018). The impact of urbanisation on energy consumption: A 30-year review in china. </w:t>
      </w:r>
      <w:r>
        <w:rPr>
          <w:i/>
        </w:rPr>
        <w:t>Urban Climate</w:t>
      </w:r>
      <w:r>
        <w:t xml:space="preserve">, </w:t>
      </w:r>
      <w:r>
        <w:rPr>
          <w:i/>
        </w:rPr>
        <w:t>24</w:t>
      </w:r>
      <w:r>
        <w:t>, 940-953. doi: 10.1016/J.UCLIM.2017 .11.005</w:t>
      </w:r>
    </w:p>
    <w:p w14:paraId="01A68BB4" w14:textId="659FACFE" w:rsidR="00F5687E" w:rsidRDefault="00F5687E" w:rsidP="00115061">
      <w:pPr>
        <w:pStyle w:val="Heading1"/>
        <w:numPr>
          <w:ilvl w:val="0"/>
          <w:numId w:val="0"/>
        </w:numPr>
        <w:tabs>
          <w:tab w:val="center" w:pos="1255"/>
        </w:tabs>
        <w:spacing w:after="169"/>
        <w:ind w:left="10" w:hanging="10"/>
      </w:pPr>
    </w:p>
    <w:sectPr w:rsidR="00F5687E">
      <w:pgSz w:w="12240" w:h="15840"/>
      <w:pgMar w:top="1088" w:right="1836" w:bottom="2807" w:left="1836" w:header="720" w:footer="22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1374C" w14:textId="77777777" w:rsidR="000864FF" w:rsidRDefault="000864FF">
      <w:pPr>
        <w:spacing w:after="0" w:line="240" w:lineRule="auto"/>
      </w:pPr>
      <w:r>
        <w:separator/>
      </w:r>
    </w:p>
  </w:endnote>
  <w:endnote w:type="continuationSeparator" w:id="0">
    <w:p w14:paraId="40817E48" w14:textId="77777777" w:rsidR="000864FF" w:rsidRDefault="000864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E4D4A" w14:textId="77777777" w:rsidR="00F5687E" w:rsidRDefault="003A13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FC1902" w14:textId="77777777" w:rsidR="00F5687E" w:rsidRDefault="003A13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CB3BB" w14:textId="77777777" w:rsidR="00F5687E" w:rsidRDefault="003A130B">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862AD" w14:textId="77777777" w:rsidR="000864FF" w:rsidRDefault="000864FF">
      <w:pPr>
        <w:spacing w:after="9" w:line="239" w:lineRule="auto"/>
        <w:ind w:left="0" w:firstLine="249"/>
      </w:pPr>
      <w:r>
        <w:separator/>
      </w:r>
    </w:p>
  </w:footnote>
  <w:footnote w:type="continuationSeparator" w:id="0">
    <w:p w14:paraId="15ECAAF6" w14:textId="77777777" w:rsidR="000864FF" w:rsidRDefault="000864FF">
      <w:pPr>
        <w:spacing w:after="9" w:line="239" w:lineRule="auto"/>
        <w:ind w:left="0" w:firstLine="249"/>
      </w:pPr>
      <w:r>
        <w:continuationSeparator/>
      </w:r>
    </w:p>
  </w:footnote>
  <w:footnote w:id="1">
    <w:p w14:paraId="41D44EA9" w14:textId="2BA875B7" w:rsidR="005D7422" w:rsidRDefault="005D7422">
      <w:pPr>
        <w:pStyle w:val="FootnoteText"/>
      </w:pPr>
      <w:r>
        <w:rPr>
          <w:rStyle w:val="FootnoteReference"/>
        </w:rPr>
        <w:footnoteRef/>
      </w:r>
      <w:r>
        <w:t xml:space="preserve"> Similarly to the relative deprivation interpretation of the Gini index computed on the distribution of income in </w:t>
      </w:r>
      <w:r w:rsidRPr="005D7422">
        <w:t>Yitzhaki</w:t>
      </w:r>
      <w:r>
        <w:t xml:space="preserve"> (1979).</w:t>
      </w:r>
    </w:p>
  </w:footnote>
  <w:footnote w:id="2">
    <w:p w14:paraId="412DA309" w14:textId="7B587416" w:rsidR="008C5A17" w:rsidRDefault="008C5A17" w:rsidP="00C545AA">
      <w:pPr>
        <w:spacing w:after="13" w:line="271" w:lineRule="auto"/>
        <w:ind w:left="0" w:firstLine="0"/>
      </w:pPr>
      <w:r>
        <w:rPr>
          <w:rStyle w:val="FootnoteReference"/>
        </w:rPr>
        <w:footnoteRef/>
      </w:r>
      <w:r>
        <w:t xml:space="preserve"> </w:t>
      </w:r>
      <w:r>
        <w:rPr>
          <w:color w:val="0000FF"/>
          <w:sz w:val="18"/>
        </w:rPr>
        <w:t xml:space="preserve">ISSP Research Group </w:t>
      </w:r>
      <w:r>
        <w:rPr>
          <w:sz w:val="18"/>
        </w:rPr>
        <w:t>(</w:t>
      </w:r>
      <w:r>
        <w:rPr>
          <w:color w:val="0000FF"/>
          <w:sz w:val="18"/>
        </w:rPr>
        <w:t>2018</w:t>
      </w:r>
      <w:r>
        <w:rPr>
          <w:sz w:val="18"/>
        </w:rPr>
        <w:t>) focuses on questions about political attitudes and the role of government, and provides nationally representative samples for a set of 35 countries (Australia, Belgium, Chile, Croatia, Czech Republic, Denmark, Finland, France, Georgia, Germany, Great Britain, Hungary, Iceland, India, Israel, Japan, Korea, Republic of Latvia, Lithuania, New Zealand, Norway, Philippines, Russian Federation, Slovakia, Slovenia, South Africa, Spain, Suriname, Sweden, Switzerland, Taiwan, Thailand, Turkey, United States of America, Bolivarian Republic of Venezuela). It collects information on the preference for more or less government spending in various areas (the environment, health, the police and law enforcement, education, the military and defense, old age pensions, unemployment benefits, culture and the arts); government’s responsibility (provide a job for everyone, keep prices under control, provide health care for the sick, provide a decent standard of living for the old, provide industry with the help it needs to grow, provide a decent standard of living for the unemployed, reduce income differences between the rich and the poor, give financial help to university students from low-income families, provide decent housing for those who can’t afford it, impose strict laws to make industry do less damage to the environment, promote equality between men and women); responsibility for the provision of health care for the sick, care for older people, and school education (Government, private companies/for-profit organizations, non-profit organizations/charities/cooperatives, religious organizations, family relatives or friends).</w:t>
      </w:r>
      <w:bookmarkStart w:id="8" w:name="_Hlk177327403"/>
    </w:p>
    <w:bookmarkEnd w:id="8"/>
  </w:footnote>
  <w:footnote w:id="3">
    <w:p w14:paraId="055C4CD5" w14:textId="65BE3674" w:rsidR="00F5687E" w:rsidRDefault="003A130B" w:rsidP="00115061">
      <w:pPr>
        <w:pStyle w:val="footnotedescription"/>
        <w:spacing w:after="9" w:line="239" w:lineRule="auto"/>
      </w:pPr>
      <w:r>
        <w:rPr>
          <w:rStyle w:val="footnotemark"/>
        </w:rPr>
        <w:footnoteRef/>
      </w:r>
      <w:r>
        <w:t xml:space="preserve"> </w:t>
      </w:r>
      <w:r>
        <w:rPr>
          <w:color w:val="0000FF"/>
        </w:rPr>
        <w:t xml:space="preserve">GBS </w:t>
      </w:r>
      <w:r>
        <w:t>(</w:t>
      </w:r>
      <w:r>
        <w:rPr>
          <w:color w:val="0000FF"/>
        </w:rPr>
        <w:t>2020</w:t>
      </w:r>
      <w:r>
        <w:t>) is the first comprehensive effort to measure, at a mass level, the current social, political, and economic climate around the world, and is a collaborative research project comprising six regional Barometers. The last wave available for analysis (wave 3), used in this study, includes information collected from four regions: Africa (Afrobarometer), Asia (Asian and South Asia Barometer), Central and South America (</w:t>
      </w:r>
      <w:r w:rsidR="00DF2F91" w:rsidRPr="00DF2F91">
        <w:t>Latinobarómetro</w:t>
      </w:r>
      <w:r>
        <w:t xml:space="preserve">), the Middle East (Arab Barometer). In particular, the country coverage is as follows: Japan, Hong Kong, Korea, Mainland China, Mongolia, Philippines, Taiwan, Thailand, Indonesia, Singapore, Vietnam, Cambodia, Malaysia, Myanmar (Asian and South Asia Barometer); Algeria, Benin, Botswana, Burkina Faso, Burundi, Cameroon, Cape Verde, Cote d’Ivoire, Egypt, Gabon, Ghana, Guinea, Kenya, Lesotho, Liberia, Madagascar, Malawi, Mali, Mauritius, Morocco, Mozambique, Namibia, Niger, Nigeria, </w:t>
      </w:r>
      <w:r w:rsidR="00DF2F91" w:rsidRPr="00DF2F91">
        <w:t>São Tomé and Príncipe</w:t>
      </w:r>
      <w:r>
        <w:t>, Senegal, Sierra Leone, South Africa, Sudan, Swaziland, Tanzania, Togo, Tunisia, Uganda, Zambia, Zimbabwe (Afrobarometer); Algeria, Egypt, Jordan, Lebanon, Morocco, Palestine, Tunisia (Arab Barometer); Argentina, Bolivia, Brazil, Chile, Colombia, Costa Rica, Dominican Rep., Ecuador, El Salvador, Guatemala, Honduras, Mexico, Nicaragua, Panama, Paraguay, Peru, Uruguay,Venezuela (</w:t>
      </w:r>
      <w:r w:rsidR="00DF2F91" w:rsidRPr="00DF2F91">
        <w:t>Latinobarómetro</w:t>
      </w:r>
      <w:r>
        <w:t>)</w:t>
      </w:r>
      <w:r w:rsidR="00ED545B">
        <w:t>.</w:t>
      </w:r>
    </w:p>
  </w:footnote>
  <w:footnote w:id="4">
    <w:p w14:paraId="40FC32C3" w14:textId="74F73B72" w:rsidR="00F5687E" w:rsidRDefault="003A130B" w:rsidP="00C545AA">
      <w:pPr>
        <w:pStyle w:val="footnotedescription"/>
        <w:spacing w:line="292" w:lineRule="auto"/>
        <w:ind w:firstLine="0"/>
      </w:pPr>
      <w:r>
        <w:rPr>
          <w:rStyle w:val="footnotemark"/>
        </w:rPr>
        <w:footnoteRef/>
      </w:r>
      <w:r>
        <w:t xml:space="preserve"> Our methodology involved integrating data sets from two separate sources, IPUMS International and</w:t>
      </w:r>
      <w:r w:rsidR="009D78F6">
        <w:t xml:space="preserve"> the</w:t>
      </w:r>
      <w:r>
        <w:t xml:space="preserve"> Armed Conflict Location &amp; Event Data Project (ACLED), to create the index.</w:t>
      </w:r>
    </w:p>
  </w:footnote>
  <w:footnote w:id="5">
    <w:p w14:paraId="000C9841" w14:textId="05FDA13C" w:rsidR="00864764" w:rsidRPr="00C545AA" w:rsidRDefault="00864764">
      <w:pPr>
        <w:pStyle w:val="FootnoteText"/>
        <w:rPr>
          <w:sz w:val="18"/>
          <w:szCs w:val="24"/>
        </w:rPr>
      </w:pPr>
      <w:r>
        <w:rPr>
          <w:rStyle w:val="FootnoteReference"/>
        </w:rPr>
        <w:footnoteRef/>
      </w:r>
      <w:r>
        <w:t xml:space="preserve"> </w:t>
      </w:r>
      <w:r w:rsidR="0025060C" w:rsidRPr="00C545AA">
        <w:rPr>
          <w:sz w:val="18"/>
          <w:szCs w:val="24"/>
        </w:rPr>
        <w:t>Table A.4 in the Appendix presents pairwise correlations in a correlation matrix for these covariates. We found no strong correlations among the variables, suggesting no multicollinearity issues in our model.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B57B0E"/>
    <w:multiLevelType w:val="hybridMultilevel"/>
    <w:tmpl w:val="4884443C"/>
    <w:lvl w:ilvl="0" w:tplc="3D8806D2">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92B154">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ECE5DF0">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8F06CFE">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7587856">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9E4958">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3AD6AE">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C268CA8">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20CA4A">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6691D63"/>
    <w:multiLevelType w:val="hybridMultilevel"/>
    <w:tmpl w:val="13A4CE48"/>
    <w:lvl w:ilvl="0" w:tplc="451A455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E30071C">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0C6C67A">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F624C0">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921B2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45A7F1E">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1A85BFC">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D363916">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6E624AA">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3CE42D33"/>
    <w:multiLevelType w:val="hybridMultilevel"/>
    <w:tmpl w:val="562E8286"/>
    <w:lvl w:ilvl="0" w:tplc="B9268DBC">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66E8AE6">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074F640">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2EEF52E">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483368">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A0AE31E">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4FAB978">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C42CC32">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D9A185C">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4C854CA"/>
    <w:multiLevelType w:val="hybridMultilevel"/>
    <w:tmpl w:val="057A6B16"/>
    <w:lvl w:ilvl="0" w:tplc="A1D4AA88">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703816">
      <w:start w:val="1"/>
      <w:numFmt w:val="bullet"/>
      <w:lvlText w:val="o"/>
      <w:lvlJc w:val="left"/>
      <w:pPr>
        <w:ind w:left="13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7B831F6">
      <w:start w:val="1"/>
      <w:numFmt w:val="bullet"/>
      <w:lvlText w:val="▪"/>
      <w:lvlJc w:val="left"/>
      <w:pPr>
        <w:ind w:left="20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FAA4CA">
      <w:start w:val="1"/>
      <w:numFmt w:val="bullet"/>
      <w:lvlText w:val="•"/>
      <w:lvlJc w:val="left"/>
      <w:pPr>
        <w:ind w:left="27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CE9BEE">
      <w:start w:val="1"/>
      <w:numFmt w:val="bullet"/>
      <w:lvlText w:val="o"/>
      <w:lvlJc w:val="left"/>
      <w:pPr>
        <w:ind w:left="34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FDE8C94">
      <w:start w:val="1"/>
      <w:numFmt w:val="bullet"/>
      <w:lvlText w:val="▪"/>
      <w:lvlJc w:val="left"/>
      <w:pPr>
        <w:ind w:left="4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BCAFBB4">
      <w:start w:val="1"/>
      <w:numFmt w:val="bullet"/>
      <w:lvlText w:val="•"/>
      <w:lvlJc w:val="left"/>
      <w:pPr>
        <w:ind w:left="49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D3E8DD6">
      <w:start w:val="1"/>
      <w:numFmt w:val="bullet"/>
      <w:lvlText w:val="o"/>
      <w:lvlJc w:val="left"/>
      <w:pPr>
        <w:ind w:left="56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3265AA6">
      <w:start w:val="1"/>
      <w:numFmt w:val="bullet"/>
      <w:lvlText w:val="▪"/>
      <w:lvlJc w:val="left"/>
      <w:pPr>
        <w:ind w:left="63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E602206"/>
    <w:multiLevelType w:val="hybridMultilevel"/>
    <w:tmpl w:val="EB5CBAC2"/>
    <w:lvl w:ilvl="0" w:tplc="534C1A94">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3782B48">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0126642">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1ECE052">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59C2B8C">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852012C">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80ED320">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31E818E">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D843DB8">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77C76F06"/>
    <w:multiLevelType w:val="hybridMultilevel"/>
    <w:tmpl w:val="F8D831AE"/>
    <w:lvl w:ilvl="0" w:tplc="6AEC5ED6">
      <w:start w:val="1"/>
      <w:numFmt w:val="bullet"/>
      <w:lvlText w:val="•"/>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2E01BCE">
      <w:start w:val="1"/>
      <w:numFmt w:val="bullet"/>
      <w:lvlText w:val="o"/>
      <w:lvlJc w:val="left"/>
      <w:pPr>
        <w:ind w:left="1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1AE56C0">
      <w:start w:val="1"/>
      <w:numFmt w:val="bullet"/>
      <w:lvlText w:val="▪"/>
      <w:lvlJc w:val="left"/>
      <w:pPr>
        <w:ind w:left="2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C883A3E">
      <w:start w:val="1"/>
      <w:numFmt w:val="bullet"/>
      <w:lvlText w:val="•"/>
      <w:lvlJc w:val="left"/>
      <w:pPr>
        <w:ind w:left="2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DC8B064">
      <w:start w:val="1"/>
      <w:numFmt w:val="bullet"/>
      <w:lvlText w:val="o"/>
      <w:lvlJc w:val="left"/>
      <w:pPr>
        <w:ind w:left="35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CD6654C">
      <w:start w:val="1"/>
      <w:numFmt w:val="bullet"/>
      <w:lvlText w:val="▪"/>
      <w:lvlJc w:val="left"/>
      <w:pPr>
        <w:ind w:left="42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282E06">
      <w:start w:val="1"/>
      <w:numFmt w:val="bullet"/>
      <w:lvlText w:val="•"/>
      <w:lvlJc w:val="left"/>
      <w:pPr>
        <w:ind w:left="50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B641F60">
      <w:start w:val="1"/>
      <w:numFmt w:val="bullet"/>
      <w:lvlText w:val="o"/>
      <w:lvlJc w:val="left"/>
      <w:pPr>
        <w:ind w:left="57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E5E7D06">
      <w:start w:val="1"/>
      <w:numFmt w:val="bullet"/>
      <w:lvlText w:val="▪"/>
      <w:lvlJc w:val="left"/>
      <w:pPr>
        <w:ind w:left="64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789365D1"/>
    <w:multiLevelType w:val="hybridMultilevel"/>
    <w:tmpl w:val="BE6CD70C"/>
    <w:lvl w:ilvl="0" w:tplc="95C05532">
      <w:start w:val="1"/>
      <w:numFmt w:val="upperLetter"/>
      <w:lvlText w:val="%1"/>
      <w:lvlJc w:val="left"/>
      <w:pPr>
        <w:ind w:left="120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77496D8">
      <w:start w:val="1"/>
      <w:numFmt w:val="lowerLetter"/>
      <w:lvlText w:val="%2"/>
      <w:lvlJc w:val="left"/>
      <w:pPr>
        <w:ind w:left="375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64CC5F1A">
      <w:start w:val="1"/>
      <w:numFmt w:val="lowerRoman"/>
      <w:lvlText w:val="%3"/>
      <w:lvlJc w:val="left"/>
      <w:pPr>
        <w:ind w:left="447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F568617A">
      <w:start w:val="1"/>
      <w:numFmt w:val="decimal"/>
      <w:lvlText w:val="%4"/>
      <w:lvlJc w:val="left"/>
      <w:pPr>
        <w:ind w:left="519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40404E8">
      <w:start w:val="1"/>
      <w:numFmt w:val="lowerLetter"/>
      <w:lvlText w:val="%5"/>
      <w:lvlJc w:val="left"/>
      <w:pPr>
        <w:ind w:left="591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A0568504">
      <w:start w:val="1"/>
      <w:numFmt w:val="lowerRoman"/>
      <w:lvlText w:val="%6"/>
      <w:lvlJc w:val="left"/>
      <w:pPr>
        <w:ind w:left="663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8827802">
      <w:start w:val="1"/>
      <w:numFmt w:val="decimal"/>
      <w:lvlText w:val="%7"/>
      <w:lvlJc w:val="left"/>
      <w:pPr>
        <w:ind w:left="735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625CE0FE">
      <w:start w:val="1"/>
      <w:numFmt w:val="lowerLetter"/>
      <w:lvlText w:val="%8"/>
      <w:lvlJc w:val="left"/>
      <w:pPr>
        <w:ind w:left="807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FFE485E0">
      <w:start w:val="1"/>
      <w:numFmt w:val="lowerRoman"/>
      <w:lvlText w:val="%9"/>
      <w:lvlJc w:val="left"/>
      <w:pPr>
        <w:ind w:left="8791"/>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93A758F"/>
    <w:multiLevelType w:val="multilevel"/>
    <w:tmpl w:val="85B4E3C4"/>
    <w:lvl w:ilvl="0">
      <w:start w:val="1"/>
      <w:numFmt w:val="decimal"/>
      <w:pStyle w:val="Heading1"/>
      <w:lvlText w:val="%1"/>
      <w:lvlJc w:val="left"/>
      <w:pPr>
        <w:ind w:left="0"/>
      </w:pPr>
      <w:rPr>
        <w:rFonts w:ascii="Cambria" w:eastAsia="Cambria" w:hAnsi="Cambria" w:cs="Cambria"/>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num w:numId="1" w16cid:durableId="1537962105">
    <w:abstractNumId w:val="6"/>
  </w:num>
  <w:num w:numId="2" w16cid:durableId="1162621044">
    <w:abstractNumId w:val="0"/>
  </w:num>
  <w:num w:numId="3" w16cid:durableId="168062447">
    <w:abstractNumId w:val="5"/>
  </w:num>
  <w:num w:numId="4" w16cid:durableId="1541091967">
    <w:abstractNumId w:val="2"/>
  </w:num>
  <w:num w:numId="5" w16cid:durableId="1065104835">
    <w:abstractNumId w:val="4"/>
  </w:num>
  <w:num w:numId="6" w16cid:durableId="1024163284">
    <w:abstractNumId w:val="1"/>
  </w:num>
  <w:num w:numId="7" w16cid:durableId="2014528669">
    <w:abstractNumId w:val="3"/>
  </w:num>
  <w:num w:numId="8" w16cid:durableId="19102623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87E"/>
    <w:rsid w:val="000046D7"/>
    <w:rsid w:val="00006039"/>
    <w:rsid w:val="00012A75"/>
    <w:rsid w:val="00020CDB"/>
    <w:rsid w:val="00022269"/>
    <w:rsid w:val="000277DD"/>
    <w:rsid w:val="000379CD"/>
    <w:rsid w:val="00037DF6"/>
    <w:rsid w:val="000408E2"/>
    <w:rsid w:val="00045190"/>
    <w:rsid w:val="0005079F"/>
    <w:rsid w:val="0005089A"/>
    <w:rsid w:val="00053C25"/>
    <w:rsid w:val="00054FEF"/>
    <w:rsid w:val="00063127"/>
    <w:rsid w:val="000737C3"/>
    <w:rsid w:val="00077B2C"/>
    <w:rsid w:val="000804DD"/>
    <w:rsid w:val="00081D02"/>
    <w:rsid w:val="0008414B"/>
    <w:rsid w:val="000864FF"/>
    <w:rsid w:val="0009218F"/>
    <w:rsid w:val="00093114"/>
    <w:rsid w:val="00093135"/>
    <w:rsid w:val="00097FE2"/>
    <w:rsid w:val="000A0A4A"/>
    <w:rsid w:val="000A0FF0"/>
    <w:rsid w:val="000B5ECB"/>
    <w:rsid w:val="000B6445"/>
    <w:rsid w:val="000C255B"/>
    <w:rsid w:val="000C2F27"/>
    <w:rsid w:val="000C3E6D"/>
    <w:rsid w:val="000D65FB"/>
    <w:rsid w:val="000E676D"/>
    <w:rsid w:val="00101579"/>
    <w:rsid w:val="00103EB6"/>
    <w:rsid w:val="00106B22"/>
    <w:rsid w:val="00115061"/>
    <w:rsid w:val="00120708"/>
    <w:rsid w:val="001216F5"/>
    <w:rsid w:val="00123126"/>
    <w:rsid w:val="001234FF"/>
    <w:rsid w:val="0012739F"/>
    <w:rsid w:val="00130A1D"/>
    <w:rsid w:val="001312D2"/>
    <w:rsid w:val="00134EC0"/>
    <w:rsid w:val="00135B8B"/>
    <w:rsid w:val="00136E59"/>
    <w:rsid w:val="00143E88"/>
    <w:rsid w:val="001512DA"/>
    <w:rsid w:val="0016144D"/>
    <w:rsid w:val="00163C33"/>
    <w:rsid w:val="00171C3B"/>
    <w:rsid w:val="00184BD5"/>
    <w:rsid w:val="001864DA"/>
    <w:rsid w:val="00186BAA"/>
    <w:rsid w:val="00195165"/>
    <w:rsid w:val="001A5D3C"/>
    <w:rsid w:val="001C34D2"/>
    <w:rsid w:val="001C60FF"/>
    <w:rsid w:val="001C6FA8"/>
    <w:rsid w:val="001D0385"/>
    <w:rsid w:val="001D08A6"/>
    <w:rsid w:val="001E4229"/>
    <w:rsid w:val="001E4BBD"/>
    <w:rsid w:val="001E5932"/>
    <w:rsid w:val="001E6FC4"/>
    <w:rsid w:val="001F0CF4"/>
    <w:rsid w:val="001F1B67"/>
    <w:rsid w:val="001F658C"/>
    <w:rsid w:val="001F74CF"/>
    <w:rsid w:val="002102F3"/>
    <w:rsid w:val="0021748E"/>
    <w:rsid w:val="00231851"/>
    <w:rsid w:val="0023413A"/>
    <w:rsid w:val="00241AFE"/>
    <w:rsid w:val="0024511E"/>
    <w:rsid w:val="00245E95"/>
    <w:rsid w:val="002460DF"/>
    <w:rsid w:val="0025060C"/>
    <w:rsid w:val="00251B5F"/>
    <w:rsid w:val="00252FC4"/>
    <w:rsid w:val="00271448"/>
    <w:rsid w:val="00272017"/>
    <w:rsid w:val="00282923"/>
    <w:rsid w:val="00283D4A"/>
    <w:rsid w:val="002843CF"/>
    <w:rsid w:val="00293F8E"/>
    <w:rsid w:val="002A63AC"/>
    <w:rsid w:val="002B0E9A"/>
    <w:rsid w:val="002C2291"/>
    <w:rsid w:val="002C629A"/>
    <w:rsid w:val="002D35EC"/>
    <w:rsid w:val="002D5DB4"/>
    <w:rsid w:val="002D687B"/>
    <w:rsid w:val="002E36F2"/>
    <w:rsid w:val="002E4CCB"/>
    <w:rsid w:val="002E7B6F"/>
    <w:rsid w:val="002F2CC9"/>
    <w:rsid w:val="002F4921"/>
    <w:rsid w:val="00300A78"/>
    <w:rsid w:val="00302675"/>
    <w:rsid w:val="003037DD"/>
    <w:rsid w:val="003058BB"/>
    <w:rsid w:val="003065D0"/>
    <w:rsid w:val="00310327"/>
    <w:rsid w:val="00320EA3"/>
    <w:rsid w:val="003227AA"/>
    <w:rsid w:val="0033167B"/>
    <w:rsid w:val="00346FEA"/>
    <w:rsid w:val="00353A84"/>
    <w:rsid w:val="00357FBF"/>
    <w:rsid w:val="003608EF"/>
    <w:rsid w:val="003670CB"/>
    <w:rsid w:val="0037145A"/>
    <w:rsid w:val="00374463"/>
    <w:rsid w:val="00391860"/>
    <w:rsid w:val="00393DD5"/>
    <w:rsid w:val="003954AF"/>
    <w:rsid w:val="003A130B"/>
    <w:rsid w:val="003A3173"/>
    <w:rsid w:val="003A7D9F"/>
    <w:rsid w:val="003B040B"/>
    <w:rsid w:val="003B122F"/>
    <w:rsid w:val="003B385C"/>
    <w:rsid w:val="003B4C9D"/>
    <w:rsid w:val="003C112A"/>
    <w:rsid w:val="003C320B"/>
    <w:rsid w:val="003C3E57"/>
    <w:rsid w:val="003D3D60"/>
    <w:rsid w:val="003E0529"/>
    <w:rsid w:val="00415E28"/>
    <w:rsid w:val="00415E6C"/>
    <w:rsid w:val="004264D4"/>
    <w:rsid w:val="00430535"/>
    <w:rsid w:val="004352EF"/>
    <w:rsid w:val="0043573D"/>
    <w:rsid w:val="004379C6"/>
    <w:rsid w:val="0044015A"/>
    <w:rsid w:val="00443D73"/>
    <w:rsid w:val="0044504B"/>
    <w:rsid w:val="00454F57"/>
    <w:rsid w:val="00465677"/>
    <w:rsid w:val="00470FE0"/>
    <w:rsid w:val="004713C3"/>
    <w:rsid w:val="00473185"/>
    <w:rsid w:val="00481926"/>
    <w:rsid w:val="00481D06"/>
    <w:rsid w:val="004848C5"/>
    <w:rsid w:val="004862E0"/>
    <w:rsid w:val="0049532D"/>
    <w:rsid w:val="00496CB9"/>
    <w:rsid w:val="004A048A"/>
    <w:rsid w:val="004A6E30"/>
    <w:rsid w:val="004B54BA"/>
    <w:rsid w:val="004C3AB5"/>
    <w:rsid w:val="004C5AAC"/>
    <w:rsid w:val="004C737D"/>
    <w:rsid w:val="004D5CFC"/>
    <w:rsid w:val="004F5933"/>
    <w:rsid w:val="004F6F0D"/>
    <w:rsid w:val="005013BF"/>
    <w:rsid w:val="00512C7E"/>
    <w:rsid w:val="00533644"/>
    <w:rsid w:val="00547220"/>
    <w:rsid w:val="00557EBC"/>
    <w:rsid w:val="00560016"/>
    <w:rsid w:val="00560C7A"/>
    <w:rsid w:val="00575CC1"/>
    <w:rsid w:val="0058183A"/>
    <w:rsid w:val="00585040"/>
    <w:rsid w:val="00586964"/>
    <w:rsid w:val="005A4219"/>
    <w:rsid w:val="005A5AEF"/>
    <w:rsid w:val="005B4453"/>
    <w:rsid w:val="005B49FC"/>
    <w:rsid w:val="005B6809"/>
    <w:rsid w:val="005C2A68"/>
    <w:rsid w:val="005D2222"/>
    <w:rsid w:val="005D29D6"/>
    <w:rsid w:val="005D2A05"/>
    <w:rsid w:val="005D2BA3"/>
    <w:rsid w:val="005D51EA"/>
    <w:rsid w:val="005D58B4"/>
    <w:rsid w:val="005D7422"/>
    <w:rsid w:val="005E131E"/>
    <w:rsid w:val="005E20D7"/>
    <w:rsid w:val="005F2A68"/>
    <w:rsid w:val="00604F46"/>
    <w:rsid w:val="00606298"/>
    <w:rsid w:val="00626F33"/>
    <w:rsid w:val="00632AE4"/>
    <w:rsid w:val="006335A5"/>
    <w:rsid w:val="00633B8B"/>
    <w:rsid w:val="00636F55"/>
    <w:rsid w:val="006423C9"/>
    <w:rsid w:val="00670D05"/>
    <w:rsid w:val="00671949"/>
    <w:rsid w:val="006765E9"/>
    <w:rsid w:val="006A2C9C"/>
    <w:rsid w:val="006A44EB"/>
    <w:rsid w:val="006B27DD"/>
    <w:rsid w:val="006B6099"/>
    <w:rsid w:val="006C2F33"/>
    <w:rsid w:val="006D082F"/>
    <w:rsid w:val="006D2BE6"/>
    <w:rsid w:val="006E3F7D"/>
    <w:rsid w:val="006F6C69"/>
    <w:rsid w:val="00702979"/>
    <w:rsid w:val="007054A3"/>
    <w:rsid w:val="00705B0B"/>
    <w:rsid w:val="007211F7"/>
    <w:rsid w:val="00735B74"/>
    <w:rsid w:val="0073613B"/>
    <w:rsid w:val="00740C09"/>
    <w:rsid w:val="00741934"/>
    <w:rsid w:val="0075191D"/>
    <w:rsid w:val="00753767"/>
    <w:rsid w:val="00755667"/>
    <w:rsid w:val="00757DB3"/>
    <w:rsid w:val="00761DCF"/>
    <w:rsid w:val="00764669"/>
    <w:rsid w:val="00777F8E"/>
    <w:rsid w:val="0078343E"/>
    <w:rsid w:val="007934A1"/>
    <w:rsid w:val="00794EB4"/>
    <w:rsid w:val="00797AD8"/>
    <w:rsid w:val="007A68EA"/>
    <w:rsid w:val="007A6AEE"/>
    <w:rsid w:val="007B1523"/>
    <w:rsid w:val="007B46B5"/>
    <w:rsid w:val="007B6602"/>
    <w:rsid w:val="007D6748"/>
    <w:rsid w:val="007E3023"/>
    <w:rsid w:val="007E7BF0"/>
    <w:rsid w:val="007F31CA"/>
    <w:rsid w:val="007F6AA3"/>
    <w:rsid w:val="00804DD1"/>
    <w:rsid w:val="00807945"/>
    <w:rsid w:val="00810B39"/>
    <w:rsid w:val="008166F2"/>
    <w:rsid w:val="00816BAB"/>
    <w:rsid w:val="008243BF"/>
    <w:rsid w:val="00826C3E"/>
    <w:rsid w:val="008300E7"/>
    <w:rsid w:val="008304B1"/>
    <w:rsid w:val="0083118C"/>
    <w:rsid w:val="00832BA7"/>
    <w:rsid w:val="008422F9"/>
    <w:rsid w:val="0084339F"/>
    <w:rsid w:val="008438BF"/>
    <w:rsid w:val="00847329"/>
    <w:rsid w:val="008474B9"/>
    <w:rsid w:val="008552D4"/>
    <w:rsid w:val="00857711"/>
    <w:rsid w:val="0086077E"/>
    <w:rsid w:val="008609CB"/>
    <w:rsid w:val="00860D8C"/>
    <w:rsid w:val="00864764"/>
    <w:rsid w:val="00865094"/>
    <w:rsid w:val="00866BF9"/>
    <w:rsid w:val="00870955"/>
    <w:rsid w:val="008718CC"/>
    <w:rsid w:val="008730C6"/>
    <w:rsid w:val="00873117"/>
    <w:rsid w:val="00881DA0"/>
    <w:rsid w:val="00896939"/>
    <w:rsid w:val="00896E9C"/>
    <w:rsid w:val="008A2287"/>
    <w:rsid w:val="008A752A"/>
    <w:rsid w:val="008B008A"/>
    <w:rsid w:val="008B0BE6"/>
    <w:rsid w:val="008C3ECD"/>
    <w:rsid w:val="008C5A17"/>
    <w:rsid w:val="008D15FC"/>
    <w:rsid w:val="008D2F85"/>
    <w:rsid w:val="008D3078"/>
    <w:rsid w:val="008D3186"/>
    <w:rsid w:val="008D5E53"/>
    <w:rsid w:val="008D7BD0"/>
    <w:rsid w:val="008D7E44"/>
    <w:rsid w:val="008E2842"/>
    <w:rsid w:val="008E3427"/>
    <w:rsid w:val="008E3F0C"/>
    <w:rsid w:val="008E7270"/>
    <w:rsid w:val="008F3F2D"/>
    <w:rsid w:val="008F56DD"/>
    <w:rsid w:val="008F7179"/>
    <w:rsid w:val="00910BCC"/>
    <w:rsid w:val="009127A6"/>
    <w:rsid w:val="009167D9"/>
    <w:rsid w:val="00921569"/>
    <w:rsid w:val="00926DFC"/>
    <w:rsid w:val="009314BC"/>
    <w:rsid w:val="0093413D"/>
    <w:rsid w:val="00937569"/>
    <w:rsid w:val="00946401"/>
    <w:rsid w:val="00951A50"/>
    <w:rsid w:val="00964EFC"/>
    <w:rsid w:val="00974375"/>
    <w:rsid w:val="00976C56"/>
    <w:rsid w:val="00981422"/>
    <w:rsid w:val="00983D86"/>
    <w:rsid w:val="009853D3"/>
    <w:rsid w:val="009863FA"/>
    <w:rsid w:val="00994948"/>
    <w:rsid w:val="00994C23"/>
    <w:rsid w:val="00996471"/>
    <w:rsid w:val="009A0D4E"/>
    <w:rsid w:val="009A76FB"/>
    <w:rsid w:val="009B0DAF"/>
    <w:rsid w:val="009C0301"/>
    <w:rsid w:val="009D4177"/>
    <w:rsid w:val="009D78F6"/>
    <w:rsid w:val="009E443A"/>
    <w:rsid w:val="009E4E2F"/>
    <w:rsid w:val="00A028C2"/>
    <w:rsid w:val="00A03809"/>
    <w:rsid w:val="00A11629"/>
    <w:rsid w:val="00A1784A"/>
    <w:rsid w:val="00A27693"/>
    <w:rsid w:val="00A31269"/>
    <w:rsid w:val="00A32B3F"/>
    <w:rsid w:val="00A44D5E"/>
    <w:rsid w:val="00A55EBC"/>
    <w:rsid w:val="00A6122D"/>
    <w:rsid w:val="00A63D78"/>
    <w:rsid w:val="00A67646"/>
    <w:rsid w:val="00A710B3"/>
    <w:rsid w:val="00A74240"/>
    <w:rsid w:val="00A743D4"/>
    <w:rsid w:val="00A75D46"/>
    <w:rsid w:val="00A81FB4"/>
    <w:rsid w:val="00A93714"/>
    <w:rsid w:val="00AA4C9B"/>
    <w:rsid w:val="00AB21FB"/>
    <w:rsid w:val="00AB3DAE"/>
    <w:rsid w:val="00AB5DB2"/>
    <w:rsid w:val="00AB7510"/>
    <w:rsid w:val="00AC2FED"/>
    <w:rsid w:val="00AD02FB"/>
    <w:rsid w:val="00AD0942"/>
    <w:rsid w:val="00AE351C"/>
    <w:rsid w:val="00AE3913"/>
    <w:rsid w:val="00AE6447"/>
    <w:rsid w:val="00AF2F16"/>
    <w:rsid w:val="00AF4188"/>
    <w:rsid w:val="00B0663B"/>
    <w:rsid w:val="00B06CBC"/>
    <w:rsid w:val="00B13F63"/>
    <w:rsid w:val="00B17D74"/>
    <w:rsid w:val="00B203A2"/>
    <w:rsid w:val="00B223C0"/>
    <w:rsid w:val="00B24C2E"/>
    <w:rsid w:val="00B31967"/>
    <w:rsid w:val="00B358BB"/>
    <w:rsid w:val="00B37953"/>
    <w:rsid w:val="00B41476"/>
    <w:rsid w:val="00B4298B"/>
    <w:rsid w:val="00B437E0"/>
    <w:rsid w:val="00B43D15"/>
    <w:rsid w:val="00B44316"/>
    <w:rsid w:val="00B444FE"/>
    <w:rsid w:val="00B5212A"/>
    <w:rsid w:val="00B6013E"/>
    <w:rsid w:val="00B6662E"/>
    <w:rsid w:val="00B66D3E"/>
    <w:rsid w:val="00B83753"/>
    <w:rsid w:val="00B86339"/>
    <w:rsid w:val="00B87DA8"/>
    <w:rsid w:val="00B95137"/>
    <w:rsid w:val="00B962D2"/>
    <w:rsid w:val="00B9656F"/>
    <w:rsid w:val="00B96876"/>
    <w:rsid w:val="00B96F09"/>
    <w:rsid w:val="00BA3F65"/>
    <w:rsid w:val="00BB2657"/>
    <w:rsid w:val="00BB7CB2"/>
    <w:rsid w:val="00BC32C6"/>
    <w:rsid w:val="00BC350D"/>
    <w:rsid w:val="00BD278A"/>
    <w:rsid w:val="00BD7B22"/>
    <w:rsid w:val="00BE3BF5"/>
    <w:rsid w:val="00BE6642"/>
    <w:rsid w:val="00BE6719"/>
    <w:rsid w:val="00BF017F"/>
    <w:rsid w:val="00BF2639"/>
    <w:rsid w:val="00BF4D87"/>
    <w:rsid w:val="00BF6A00"/>
    <w:rsid w:val="00C00D15"/>
    <w:rsid w:val="00C076FF"/>
    <w:rsid w:val="00C12FB6"/>
    <w:rsid w:val="00C1571C"/>
    <w:rsid w:val="00C16AED"/>
    <w:rsid w:val="00C367BD"/>
    <w:rsid w:val="00C43A51"/>
    <w:rsid w:val="00C4417F"/>
    <w:rsid w:val="00C45649"/>
    <w:rsid w:val="00C46C0A"/>
    <w:rsid w:val="00C50090"/>
    <w:rsid w:val="00C545AA"/>
    <w:rsid w:val="00C54ED4"/>
    <w:rsid w:val="00C6172F"/>
    <w:rsid w:val="00C638AA"/>
    <w:rsid w:val="00C64B45"/>
    <w:rsid w:val="00C80085"/>
    <w:rsid w:val="00C8650D"/>
    <w:rsid w:val="00C8686F"/>
    <w:rsid w:val="00CB1EB4"/>
    <w:rsid w:val="00CB6735"/>
    <w:rsid w:val="00CC51CE"/>
    <w:rsid w:val="00CE477C"/>
    <w:rsid w:val="00CE556C"/>
    <w:rsid w:val="00CF6471"/>
    <w:rsid w:val="00D01B15"/>
    <w:rsid w:val="00D022C2"/>
    <w:rsid w:val="00D0564A"/>
    <w:rsid w:val="00D1230E"/>
    <w:rsid w:val="00D210B7"/>
    <w:rsid w:val="00D23128"/>
    <w:rsid w:val="00D3027E"/>
    <w:rsid w:val="00D37948"/>
    <w:rsid w:val="00D420FF"/>
    <w:rsid w:val="00D42964"/>
    <w:rsid w:val="00D45853"/>
    <w:rsid w:val="00D46C72"/>
    <w:rsid w:val="00D54453"/>
    <w:rsid w:val="00D57262"/>
    <w:rsid w:val="00D61B9A"/>
    <w:rsid w:val="00D62485"/>
    <w:rsid w:val="00D67AF7"/>
    <w:rsid w:val="00D74E07"/>
    <w:rsid w:val="00D76FCB"/>
    <w:rsid w:val="00D854CE"/>
    <w:rsid w:val="00D86DC9"/>
    <w:rsid w:val="00D875DE"/>
    <w:rsid w:val="00D90DF0"/>
    <w:rsid w:val="00D948E8"/>
    <w:rsid w:val="00DA7DC2"/>
    <w:rsid w:val="00DB0D21"/>
    <w:rsid w:val="00DB22D9"/>
    <w:rsid w:val="00DB61DB"/>
    <w:rsid w:val="00DC120E"/>
    <w:rsid w:val="00DC581B"/>
    <w:rsid w:val="00DC777B"/>
    <w:rsid w:val="00DD7754"/>
    <w:rsid w:val="00DE2E9D"/>
    <w:rsid w:val="00DE3C37"/>
    <w:rsid w:val="00DE4474"/>
    <w:rsid w:val="00DE5B92"/>
    <w:rsid w:val="00DE6510"/>
    <w:rsid w:val="00DE699E"/>
    <w:rsid w:val="00DE6E2B"/>
    <w:rsid w:val="00DE736E"/>
    <w:rsid w:val="00DE7481"/>
    <w:rsid w:val="00DF2F91"/>
    <w:rsid w:val="00DF5770"/>
    <w:rsid w:val="00DF5D3D"/>
    <w:rsid w:val="00E11EE0"/>
    <w:rsid w:val="00E168A1"/>
    <w:rsid w:val="00E2084D"/>
    <w:rsid w:val="00E22A76"/>
    <w:rsid w:val="00E273E7"/>
    <w:rsid w:val="00E32370"/>
    <w:rsid w:val="00E331C9"/>
    <w:rsid w:val="00E40F4B"/>
    <w:rsid w:val="00E41F36"/>
    <w:rsid w:val="00E4662F"/>
    <w:rsid w:val="00E46786"/>
    <w:rsid w:val="00E55D84"/>
    <w:rsid w:val="00E570E7"/>
    <w:rsid w:val="00E603AE"/>
    <w:rsid w:val="00E61BB8"/>
    <w:rsid w:val="00E6420B"/>
    <w:rsid w:val="00E64EBC"/>
    <w:rsid w:val="00E66A51"/>
    <w:rsid w:val="00E70198"/>
    <w:rsid w:val="00E70977"/>
    <w:rsid w:val="00E7141D"/>
    <w:rsid w:val="00E82BCB"/>
    <w:rsid w:val="00E86C6B"/>
    <w:rsid w:val="00E9699E"/>
    <w:rsid w:val="00EC0E9C"/>
    <w:rsid w:val="00EC35C3"/>
    <w:rsid w:val="00ED0C87"/>
    <w:rsid w:val="00ED291E"/>
    <w:rsid w:val="00ED3093"/>
    <w:rsid w:val="00ED4E6C"/>
    <w:rsid w:val="00ED545B"/>
    <w:rsid w:val="00EE3198"/>
    <w:rsid w:val="00EF24B7"/>
    <w:rsid w:val="00EF34DC"/>
    <w:rsid w:val="00EF40D2"/>
    <w:rsid w:val="00EF5C46"/>
    <w:rsid w:val="00EF7B5F"/>
    <w:rsid w:val="00F00266"/>
    <w:rsid w:val="00F01A31"/>
    <w:rsid w:val="00F066A8"/>
    <w:rsid w:val="00F153EE"/>
    <w:rsid w:val="00F254A0"/>
    <w:rsid w:val="00F32731"/>
    <w:rsid w:val="00F4008A"/>
    <w:rsid w:val="00F45F5C"/>
    <w:rsid w:val="00F522F7"/>
    <w:rsid w:val="00F5261A"/>
    <w:rsid w:val="00F52FB1"/>
    <w:rsid w:val="00F5687E"/>
    <w:rsid w:val="00F62BF8"/>
    <w:rsid w:val="00F719D8"/>
    <w:rsid w:val="00F7292E"/>
    <w:rsid w:val="00F774E9"/>
    <w:rsid w:val="00F8186F"/>
    <w:rsid w:val="00F82FBA"/>
    <w:rsid w:val="00F86A4E"/>
    <w:rsid w:val="00F93C95"/>
    <w:rsid w:val="00F94CA1"/>
    <w:rsid w:val="00F95091"/>
    <w:rsid w:val="00FA1717"/>
    <w:rsid w:val="00FA53BE"/>
    <w:rsid w:val="00FA5E1E"/>
    <w:rsid w:val="00FB005F"/>
    <w:rsid w:val="00FB2A8D"/>
    <w:rsid w:val="00FB2AB7"/>
    <w:rsid w:val="00FB3301"/>
    <w:rsid w:val="00FB35A6"/>
    <w:rsid w:val="00FD0616"/>
    <w:rsid w:val="00FD1C4F"/>
    <w:rsid w:val="00FD257B"/>
    <w:rsid w:val="00FE19E6"/>
    <w:rsid w:val="00FF0D6D"/>
    <w:rsid w:val="00FF25E5"/>
    <w:rsid w:val="00FF3E13"/>
    <w:rsid w:val="00FF4EAB"/>
    <w:rsid w:val="00FF5B7E"/>
    <w:rsid w:val="00FF6D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4A3FB"/>
  <w15:docId w15:val="{D7F36208-4EA7-CE43-AFF9-59E3583C8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63" w:lineRule="auto"/>
      <w:ind w:left="10" w:hanging="10"/>
      <w:jc w:val="both"/>
    </w:pPr>
    <w:rPr>
      <w:rFonts w:ascii="Cambria" w:eastAsia="Cambria" w:hAnsi="Cambria" w:cs="Cambria"/>
      <w:color w:val="000000"/>
      <w:sz w:val="22"/>
    </w:rPr>
  </w:style>
  <w:style w:type="paragraph" w:styleId="Heading1">
    <w:name w:val="heading 1"/>
    <w:next w:val="Normal"/>
    <w:link w:val="Heading1Char"/>
    <w:uiPriority w:val="9"/>
    <w:qFormat/>
    <w:pPr>
      <w:keepNext/>
      <w:keepLines/>
      <w:numPr>
        <w:numId w:val="8"/>
      </w:numPr>
      <w:spacing w:after="132" w:line="262" w:lineRule="auto"/>
      <w:ind w:left="10" w:hanging="10"/>
      <w:outlineLvl w:val="0"/>
    </w:pPr>
    <w:rPr>
      <w:rFonts w:ascii="Cambria" w:eastAsia="Cambria" w:hAnsi="Cambria" w:cs="Cambria"/>
      <w:b/>
      <w:color w:val="000000"/>
      <w:sz w:val="29"/>
    </w:rPr>
  </w:style>
  <w:style w:type="paragraph" w:styleId="Heading2">
    <w:name w:val="heading 2"/>
    <w:next w:val="Normal"/>
    <w:link w:val="Heading2Char"/>
    <w:uiPriority w:val="9"/>
    <w:unhideWhenUsed/>
    <w:qFormat/>
    <w:pPr>
      <w:keepNext/>
      <w:keepLines/>
      <w:numPr>
        <w:ilvl w:val="1"/>
        <w:numId w:val="8"/>
      </w:numPr>
      <w:spacing w:after="164" w:line="265" w:lineRule="auto"/>
      <w:ind w:left="10" w:hanging="10"/>
      <w:outlineLvl w:val="1"/>
    </w:pPr>
    <w:rPr>
      <w:rFonts w:ascii="Cambria" w:eastAsia="Cambria" w:hAnsi="Cambria" w:cs="Cambria"/>
      <w:b/>
      <w:color w:val="000000"/>
    </w:rPr>
  </w:style>
  <w:style w:type="paragraph" w:styleId="Heading3">
    <w:name w:val="heading 3"/>
    <w:next w:val="Normal"/>
    <w:link w:val="Heading3Char"/>
    <w:uiPriority w:val="9"/>
    <w:unhideWhenUsed/>
    <w:qFormat/>
    <w:pPr>
      <w:keepNext/>
      <w:keepLines/>
      <w:numPr>
        <w:ilvl w:val="2"/>
        <w:numId w:val="8"/>
      </w:numPr>
      <w:spacing w:after="198" w:line="259" w:lineRule="auto"/>
      <w:ind w:left="10" w:hanging="10"/>
      <w:outlineLvl w:val="2"/>
    </w:pPr>
    <w:rPr>
      <w:rFonts w:ascii="Cambria" w:eastAsia="Cambria" w:hAnsi="Cambria" w:cs="Cambria"/>
      <w:b/>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4"/>
    </w:rPr>
  </w:style>
  <w:style w:type="paragraph" w:customStyle="1" w:styleId="footnotedescription">
    <w:name w:val="footnote description"/>
    <w:next w:val="Normal"/>
    <w:link w:val="footnotedescriptionChar"/>
    <w:hidden/>
    <w:pPr>
      <w:spacing w:line="259" w:lineRule="auto"/>
      <w:ind w:firstLine="249"/>
      <w:jc w:val="both"/>
    </w:pPr>
    <w:rPr>
      <w:rFonts w:ascii="Cambria" w:eastAsia="Cambria" w:hAnsi="Cambria" w:cs="Cambria"/>
      <w:color w:val="000000"/>
      <w:sz w:val="18"/>
    </w:rPr>
  </w:style>
  <w:style w:type="character" w:customStyle="1" w:styleId="footnotedescriptionChar">
    <w:name w:val="footnote description Char"/>
    <w:link w:val="footnotedescription"/>
    <w:rPr>
      <w:rFonts w:ascii="Cambria" w:eastAsia="Cambria" w:hAnsi="Cambria" w:cs="Cambria"/>
      <w:color w:val="000000"/>
      <w:sz w:val="18"/>
    </w:rPr>
  </w:style>
  <w:style w:type="character" w:customStyle="1" w:styleId="Heading3Char">
    <w:name w:val="Heading 3 Char"/>
    <w:link w:val="Heading3"/>
    <w:rPr>
      <w:rFonts w:ascii="Cambria" w:eastAsia="Cambria" w:hAnsi="Cambria" w:cs="Cambria"/>
      <w:b/>
      <w:color w:val="000000"/>
      <w:sz w:val="22"/>
    </w:rPr>
  </w:style>
  <w:style w:type="character" w:customStyle="1" w:styleId="Heading1Char">
    <w:name w:val="Heading 1 Char"/>
    <w:link w:val="Heading1"/>
    <w:rPr>
      <w:rFonts w:ascii="Cambria" w:eastAsia="Cambria" w:hAnsi="Cambria" w:cs="Cambria"/>
      <w:b/>
      <w:color w:val="000000"/>
      <w:sz w:val="29"/>
    </w:rPr>
  </w:style>
  <w:style w:type="character" w:customStyle="1" w:styleId="footnotemark">
    <w:name w:val="footnote mark"/>
    <w:hidden/>
    <w:rPr>
      <w:rFonts w:ascii="Cambria" w:eastAsia="Cambria" w:hAnsi="Cambria" w:cs="Cambria"/>
      <w:color w:val="000000"/>
      <w:sz w:val="18"/>
      <w:vertAlign w:val="superscript"/>
    </w:rPr>
  </w:style>
  <w:style w:type="table" w:customStyle="1" w:styleId="TableGrid">
    <w:name w:val="TableGrid"/>
    <w:tblPr>
      <w:tblCellMar>
        <w:top w:w="0" w:type="dxa"/>
        <w:left w:w="0" w:type="dxa"/>
        <w:bottom w:w="0" w:type="dxa"/>
        <w:right w:w="0" w:type="dxa"/>
      </w:tblCellMar>
    </w:tblPr>
  </w:style>
  <w:style w:type="paragraph" w:styleId="FootnoteText">
    <w:name w:val="footnote text"/>
    <w:basedOn w:val="Normal"/>
    <w:link w:val="FootnoteTextChar"/>
    <w:uiPriority w:val="99"/>
    <w:semiHidden/>
    <w:unhideWhenUsed/>
    <w:rsid w:val="008C5A1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5A17"/>
    <w:rPr>
      <w:rFonts w:ascii="Cambria" w:eastAsia="Cambria" w:hAnsi="Cambria" w:cs="Cambria"/>
      <w:color w:val="000000"/>
      <w:sz w:val="20"/>
      <w:szCs w:val="20"/>
    </w:rPr>
  </w:style>
  <w:style w:type="character" w:styleId="FootnoteReference">
    <w:name w:val="footnote reference"/>
    <w:basedOn w:val="DefaultParagraphFont"/>
    <w:uiPriority w:val="99"/>
    <w:semiHidden/>
    <w:unhideWhenUsed/>
    <w:rsid w:val="008C5A17"/>
    <w:rPr>
      <w:vertAlign w:val="superscript"/>
    </w:rPr>
  </w:style>
  <w:style w:type="paragraph" w:styleId="Revision">
    <w:name w:val="Revision"/>
    <w:hidden/>
    <w:uiPriority w:val="99"/>
    <w:semiHidden/>
    <w:rsid w:val="004C5AAC"/>
    <w:rPr>
      <w:rFonts w:ascii="Cambria" w:eastAsia="Cambria" w:hAnsi="Cambria" w:cs="Cambria"/>
      <w:color w:val="000000"/>
      <w:sz w:val="22"/>
    </w:rPr>
  </w:style>
  <w:style w:type="character" w:styleId="CommentReference">
    <w:name w:val="annotation reference"/>
    <w:basedOn w:val="DefaultParagraphFont"/>
    <w:uiPriority w:val="99"/>
    <w:semiHidden/>
    <w:unhideWhenUsed/>
    <w:rsid w:val="003A130B"/>
    <w:rPr>
      <w:sz w:val="16"/>
      <w:szCs w:val="16"/>
    </w:rPr>
  </w:style>
  <w:style w:type="paragraph" w:styleId="CommentText">
    <w:name w:val="annotation text"/>
    <w:basedOn w:val="Normal"/>
    <w:link w:val="CommentTextChar"/>
    <w:uiPriority w:val="99"/>
    <w:unhideWhenUsed/>
    <w:rsid w:val="003A130B"/>
    <w:pPr>
      <w:spacing w:line="240" w:lineRule="auto"/>
    </w:pPr>
    <w:rPr>
      <w:sz w:val="20"/>
      <w:szCs w:val="20"/>
    </w:rPr>
  </w:style>
  <w:style w:type="character" w:customStyle="1" w:styleId="CommentTextChar">
    <w:name w:val="Comment Text Char"/>
    <w:basedOn w:val="DefaultParagraphFont"/>
    <w:link w:val="CommentText"/>
    <w:uiPriority w:val="99"/>
    <w:rsid w:val="003A130B"/>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3A130B"/>
    <w:rPr>
      <w:b/>
      <w:bCs/>
    </w:rPr>
  </w:style>
  <w:style w:type="character" w:customStyle="1" w:styleId="CommentSubjectChar">
    <w:name w:val="Comment Subject Char"/>
    <w:basedOn w:val="CommentTextChar"/>
    <w:link w:val="CommentSubject"/>
    <w:uiPriority w:val="99"/>
    <w:semiHidden/>
    <w:rsid w:val="003A130B"/>
    <w:rPr>
      <w:rFonts w:ascii="Cambria" w:eastAsia="Cambria" w:hAnsi="Cambria" w:cs="Cambria"/>
      <w:b/>
      <w:bCs/>
      <w:color w:val="000000"/>
      <w:sz w:val="20"/>
      <w:szCs w:val="20"/>
    </w:rPr>
  </w:style>
  <w:style w:type="character" w:styleId="PlaceholderText">
    <w:name w:val="Placeholder Text"/>
    <w:basedOn w:val="DefaultParagraphFont"/>
    <w:uiPriority w:val="99"/>
    <w:semiHidden/>
    <w:rsid w:val="00DB22D9"/>
    <w:rPr>
      <w:color w:val="666666"/>
    </w:rPr>
  </w:style>
  <w:style w:type="table" w:styleId="TableGrid0">
    <w:name w:val="Table Grid"/>
    <w:basedOn w:val="TableNormal"/>
    <w:uiPriority w:val="39"/>
    <w:rsid w:val="00A676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7646"/>
    <w:pPr>
      <w:ind w:left="720"/>
      <w:contextualSpacing/>
    </w:pPr>
  </w:style>
  <w:style w:type="paragraph" w:styleId="Caption">
    <w:name w:val="caption"/>
    <w:basedOn w:val="Normal"/>
    <w:next w:val="Normal"/>
    <w:uiPriority w:val="35"/>
    <w:unhideWhenUsed/>
    <w:qFormat/>
    <w:rsid w:val="00A67646"/>
    <w:pPr>
      <w:spacing w:after="200" w:line="240" w:lineRule="auto"/>
    </w:pPr>
    <w:rPr>
      <w:i/>
      <w:iCs/>
      <w:color w:val="44546A" w:themeColor="text2"/>
      <w:sz w:val="18"/>
      <w:szCs w:val="18"/>
    </w:rPr>
  </w:style>
  <w:style w:type="character" w:styleId="Hyperlink">
    <w:name w:val="Hyperlink"/>
    <w:basedOn w:val="DefaultParagraphFont"/>
    <w:uiPriority w:val="99"/>
    <w:unhideWhenUsed/>
    <w:rsid w:val="00C076FF"/>
    <w:rPr>
      <w:color w:val="0563C1" w:themeColor="hyperlink"/>
      <w:u w:val="single"/>
    </w:rPr>
  </w:style>
  <w:style w:type="character" w:styleId="UnresolvedMention">
    <w:name w:val="Unresolved Mention"/>
    <w:basedOn w:val="DefaultParagraphFont"/>
    <w:uiPriority w:val="99"/>
    <w:semiHidden/>
    <w:unhideWhenUsed/>
    <w:rsid w:val="00C076FF"/>
    <w:rPr>
      <w:color w:val="605E5C"/>
      <w:shd w:val="clear" w:color="auto" w:fill="E1DFDD"/>
    </w:rPr>
  </w:style>
  <w:style w:type="character" w:styleId="Strong">
    <w:name w:val="Strong"/>
    <w:basedOn w:val="DefaultParagraphFont"/>
    <w:uiPriority w:val="22"/>
    <w:qFormat/>
    <w:rsid w:val="00741934"/>
    <w:rPr>
      <w:b/>
      <w:bCs/>
    </w:rPr>
  </w:style>
  <w:style w:type="paragraph" w:styleId="NormalWeb">
    <w:name w:val="Normal (Web)"/>
    <w:basedOn w:val="Normal"/>
    <w:uiPriority w:val="99"/>
    <w:semiHidden/>
    <w:unhideWhenUsed/>
    <w:rsid w:val="00741934"/>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0784">
      <w:bodyDiv w:val="1"/>
      <w:marLeft w:val="0"/>
      <w:marRight w:val="0"/>
      <w:marTop w:val="0"/>
      <w:marBottom w:val="0"/>
      <w:divBdr>
        <w:top w:val="none" w:sz="0" w:space="0" w:color="auto"/>
        <w:left w:val="none" w:sz="0" w:space="0" w:color="auto"/>
        <w:bottom w:val="none" w:sz="0" w:space="0" w:color="auto"/>
        <w:right w:val="none" w:sz="0" w:space="0" w:color="auto"/>
      </w:divBdr>
      <w:divsChild>
        <w:div w:id="1351908351">
          <w:marLeft w:val="0"/>
          <w:marRight w:val="0"/>
          <w:marTop w:val="0"/>
          <w:marBottom w:val="0"/>
          <w:divBdr>
            <w:top w:val="none" w:sz="0" w:space="0" w:color="auto"/>
            <w:left w:val="none" w:sz="0" w:space="0" w:color="auto"/>
            <w:bottom w:val="none" w:sz="0" w:space="0" w:color="auto"/>
            <w:right w:val="none" w:sz="0" w:space="0" w:color="auto"/>
          </w:divBdr>
          <w:divsChild>
            <w:div w:id="12988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4722">
      <w:bodyDiv w:val="1"/>
      <w:marLeft w:val="0"/>
      <w:marRight w:val="0"/>
      <w:marTop w:val="0"/>
      <w:marBottom w:val="0"/>
      <w:divBdr>
        <w:top w:val="none" w:sz="0" w:space="0" w:color="auto"/>
        <w:left w:val="none" w:sz="0" w:space="0" w:color="auto"/>
        <w:bottom w:val="none" w:sz="0" w:space="0" w:color="auto"/>
        <w:right w:val="none" w:sz="0" w:space="0" w:color="auto"/>
      </w:divBdr>
    </w:div>
    <w:div w:id="195393267">
      <w:bodyDiv w:val="1"/>
      <w:marLeft w:val="0"/>
      <w:marRight w:val="0"/>
      <w:marTop w:val="0"/>
      <w:marBottom w:val="0"/>
      <w:divBdr>
        <w:top w:val="none" w:sz="0" w:space="0" w:color="auto"/>
        <w:left w:val="none" w:sz="0" w:space="0" w:color="auto"/>
        <w:bottom w:val="none" w:sz="0" w:space="0" w:color="auto"/>
        <w:right w:val="none" w:sz="0" w:space="0" w:color="auto"/>
      </w:divBdr>
    </w:div>
    <w:div w:id="245579796">
      <w:bodyDiv w:val="1"/>
      <w:marLeft w:val="0"/>
      <w:marRight w:val="0"/>
      <w:marTop w:val="0"/>
      <w:marBottom w:val="0"/>
      <w:divBdr>
        <w:top w:val="none" w:sz="0" w:space="0" w:color="auto"/>
        <w:left w:val="none" w:sz="0" w:space="0" w:color="auto"/>
        <w:bottom w:val="none" w:sz="0" w:space="0" w:color="auto"/>
        <w:right w:val="none" w:sz="0" w:space="0" w:color="auto"/>
      </w:divBdr>
    </w:div>
    <w:div w:id="282658162">
      <w:bodyDiv w:val="1"/>
      <w:marLeft w:val="0"/>
      <w:marRight w:val="0"/>
      <w:marTop w:val="0"/>
      <w:marBottom w:val="0"/>
      <w:divBdr>
        <w:top w:val="none" w:sz="0" w:space="0" w:color="auto"/>
        <w:left w:val="none" w:sz="0" w:space="0" w:color="auto"/>
        <w:bottom w:val="none" w:sz="0" w:space="0" w:color="auto"/>
        <w:right w:val="none" w:sz="0" w:space="0" w:color="auto"/>
      </w:divBdr>
    </w:div>
    <w:div w:id="466704051">
      <w:bodyDiv w:val="1"/>
      <w:marLeft w:val="0"/>
      <w:marRight w:val="0"/>
      <w:marTop w:val="0"/>
      <w:marBottom w:val="0"/>
      <w:divBdr>
        <w:top w:val="none" w:sz="0" w:space="0" w:color="auto"/>
        <w:left w:val="none" w:sz="0" w:space="0" w:color="auto"/>
        <w:bottom w:val="none" w:sz="0" w:space="0" w:color="auto"/>
        <w:right w:val="none" w:sz="0" w:space="0" w:color="auto"/>
      </w:divBdr>
    </w:div>
    <w:div w:id="687679440">
      <w:bodyDiv w:val="1"/>
      <w:marLeft w:val="0"/>
      <w:marRight w:val="0"/>
      <w:marTop w:val="0"/>
      <w:marBottom w:val="0"/>
      <w:divBdr>
        <w:top w:val="none" w:sz="0" w:space="0" w:color="auto"/>
        <w:left w:val="none" w:sz="0" w:space="0" w:color="auto"/>
        <w:bottom w:val="none" w:sz="0" w:space="0" w:color="auto"/>
        <w:right w:val="none" w:sz="0" w:space="0" w:color="auto"/>
      </w:divBdr>
    </w:div>
    <w:div w:id="845680400">
      <w:bodyDiv w:val="1"/>
      <w:marLeft w:val="0"/>
      <w:marRight w:val="0"/>
      <w:marTop w:val="0"/>
      <w:marBottom w:val="0"/>
      <w:divBdr>
        <w:top w:val="none" w:sz="0" w:space="0" w:color="auto"/>
        <w:left w:val="none" w:sz="0" w:space="0" w:color="auto"/>
        <w:bottom w:val="none" w:sz="0" w:space="0" w:color="auto"/>
        <w:right w:val="none" w:sz="0" w:space="0" w:color="auto"/>
      </w:divBdr>
    </w:div>
    <w:div w:id="863513965">
      <w:bodyDiv w:val="1"/>
      <w:marLeft w:val="0"/>
      <w:marRight w:val="0"/>
      <w:marTop w:val="0"/>
      <w:marBottom w:val="0"/>
      <w:divBdr>
        <w:top w:val="none" w:sz="0" w:space="0" w:color="auto"/>
        <w:left w:val="none" w:sz="0" w:space="0" w:color="auto"/>
        <w:bottom w:val="none" w:sz="0" w:space="0" w:color="auto"/>
        <w:right w:val="none" w:sz="0" w:space="0" w:color="auto"/>
      </w:divBdr>
    </w:div>
    <w:div w:id="920599105">
      <w:bodyDiv w:val="1"/>
      <w:marLeft w:val="0"/>
      <w:marRight w:val="0"/>
      <w:marTop w:val="0"/>
      <w:marBottom w:val="0"/>
      <w:divBdr>
        <w:top w:val="none" w:sz="0" w:space="0" w:color="auto"/>
        <w:left w:val="none" w:sz="0" w:space="0" w:color="auto"/>
        <w:bottom w:val="none" w:sz="0" w:space="0" w:color="auto"/>
        <w:right w:val="none" w:sz="0" w:space="0" w:color="auto"/>
      </w:divBdr>
    </w:div>
    <w:div w:id="927427358">
      <w:bodyDiv w:val="1"/>
      <w:marLeft w:val="0"/>
      <w:marRight w:val="0"/>
      <w:marTop w:val="0"/>
      <w:marBottom w:val="0"/>
      <w:divBdr>
        <w:top w:val="none" w:sz="0" w:space="0" w:color="auto"/>
        <w:left w:val="none" w:sz="0" w:space="0" w:color="auto"/>
        <w:bottom w:val="none" w:sz="0" w:space="0" w:color="auto"/>
        <w:right w:val="none" w:sz="0" w:space="0" w:color="auto"/>
      </w:divBdr>
      <w:divsChild>
        <w:div w:id="22169917">
          <w:marLeft w:val="0"/>
          <w:marRight w:val="0"/>
          <w:marTop w:val="0"/>
          <w:marBottom w:val="0"/>
          <w:divBdr>
            <w:top w:val="none" w:sz="0" w:space="0" w:color="auto"/>
            <w:left w:val="none" w:sz="0" w:space="0" w:color="auto"/>
            <w:bottom w:val="none" w:sz="0" w:space="0" w:color="auto"/>
            <w:right w:val="none" w:sz="0" w:space="0" w:color="auto"/>
          </w:divBdr>
          <w:divsChild>
            <w:div w:id="136151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001301">
      <w:bodyDiv w:val="1"/>
      <w:marLeft w:val="0"/>
      <w:marRight w:val="0"/>
      <w:marTop w:val="0"/>
      <w:marBottom w:val="0"/>
      <w:divBdr>
        <w:top w:val="none" w:sz="0" w:space="0" w:color="auto"/>
        <w:left w:val="none" w:sz="0" w:space="0" w:color="auto"/>
        <w:bottom w:val="none" w:sz="0" w:space="0" w:color="auto"/>
        <w:right w:val="none" w:sz="0" w:space="0" w:color="auto"/>
      </w:divBdr>
    </w:div>
    <w:div w:id="1156873519">
      <w:bodyDiv w:val="1"/>
      <w:marLeft w:val="0"/>
      <w:marRight w:val="0"/>
      <w:marTop w:val="0"/>
      <w:marBottom w:val="0"/>
      <w:divBdr>
        <w:top w:val="none" w:sz="0" w:space="0" w:color="auto"/>
        <w:left w:val="none" w:sz="0" w:space="0" w:color="auto"/>
        <w:bottom w:val="none" w:sz="0" w:space="0" w:color="auto"/>
        <w:right w:val="none" w:sz="0" w:space="0" w:color="auto"/>
      </w:divBdr>
    </w:div>
    <w:div w:id="1305574807">
      <w:bodyDiv w:val="1"/>
      <w:marLeft w:val="0"/>
      <w:marRight w:val="0"/>
      <w:marTop w:val="0"/>
      <w:marBottom w:val="0"/>
      <w:divBdr>
        <w:top w:val="none" w:sz="0" w:space="0" w:color="auto"/>
        <w:left w:val="none" w:sz="0" w:space="0" w:color="auto"/>
        <w:bottom w:val="none" w:sz="0" w:space="0" w:color="auto"/>
        <w:right w:val="none" w:sz="0" w:space="0" w:color="auto"/>
      </w:divBdr>
    </w:div>
    <w:div w:id="1308170773">
      <w:bodyDiv w:val="1"/>
      <w:marLeft w:val="0"/>
      <w:marRight w:val="0"/>
      <w:marTop w:val="0"/>
      <w:marBottom w:val="0"/>
      <w:divBdr>
        <w:top w:val="none" w:sz="0" w:space="0" w:color="auto"/>
        <w:left w:val="none" w:sz="0" w:space="0" w:color="auto"/>
        <w:bottom w:val="none" w:sz="0" w:space="0" w:color="auto"/>
        <w:right w:val="none" w:sz="0" w:space="0" w:color="auto"/>
      </w:divBdr>
      <w:divsChild>
        <w:div w:id="250893480">
          <w:marLeft w:val="0"/>
          <w:marRight w:val="0"/>
          <w:marTop w:val="0"/>
          <w:marBottom w:val="0"/>
          <w:divBdr>
            <w:top w:val="none" w:sz="0" w:space="0" w:color="auto"/>
            <w:left w:val="none" w:sz="0" w:space="0" w:color="auto"/>
            <w:bottom w:val="none" w:sz="0" w:space="0" w:color="auto"/>
            <w:right w:val="none" w:sz="0" w:space="0" w:color="auto"/>
          </w:divBdr>
          <w:divsChild>
            <w:div w:id="1161579229">
              <w:marLeft w:val="0"/>
              <w:marRight w:val="0"/>
              <w:marTop w:val="0"/>
              <w:marBottom w:val="0"/>
              <w:divBdr>
                <w:top w:val="none" w:sz="0" w:space="0" w:color="auto"/>
                <w:left w:val="none" w:sz="0" w:space="0" w:color="auto"/>
                <w:bottom w:val="none" w:sz="0" w:space="0" w:color="auto"/>
                <w:right w:val="none" w:sz="0" w:space="0" w:color="auto"/>
              </w:divBdr>
              <w:divsChild>
                <w:div w:id="1353797731">
                  <w:marLeft w:val="0"/>
                  <w:marRight w:val="0"/>
                  <w:marTop w:val="0"/>
                  <w:marBottom w:val="0"/>
                  <w:divBdr>
                    <w:top w:val="none" w:sz="0" w:space="0" w:color="auto"/>
                    <w:left w:val="none" w:sz="0" w:space="0" w:color="auto"/>
                    <w:bottom w:val="none" w:sz="0" w:space="0" w:color="auto"/>
                    <w:right w:val="none" w:sz="0" w:space="0" w:color="auto"/>
                  </w:divBdr>
                </w:div>
                <w:div w:id="84041756">
                  <w:marLeft w:val="0"/>
                  <w:marRight w:val="0"/>
                  <w:marTop w:val="0"/>
                  <w:marBottom w:val="0"/>
                  <w:divBdr>
                    <w:top w:val="none" w:sz="0" w:space="0" w:color="auto"/>
                    <w:left w:val="none" w:sz="0" w:space="0" w:color="auto"/>
                    <w:bottom w:val="none" w:sz="0" w:space="0" w:color="auto"/>
                    <w:right w:val="none" w:sz="0" w:space="0" w:color="auto"/>
                  </w:divBdr>
                </w:div>
              </w:divsChild>
            </w:div>
            <w:div w:id="1515345579">
              <w:marLeft w:val="0"/>
              <w:marRight w:val="0"/>
              <w:marTop w:val="0"/>
              <w:marBottom w:val="0"/>
              <w:divBdr>
                <w:top w:val="none" w:sz="0" w:space="0" w:color="auto"/>
                <w:left w:val="none" w:sz="0" w:space="0" w:color="auto"/>
                <w:bottom w:val="none" w:sz="0" w:space="0" w:color="auto"/>
                <w:right w:val="none" w:sz="0" w:space="0" w:color="auto"/>
              </w:divBdr>
              <w:divsChild>
                <w:div w:id="41629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8359">
          <w:marLeft w:val="0"/>
          <w:marRight w:val="0"/>
          <w:marTop w:val="0"/>
          <w:marBottom w:val="0"/>
          <w:divBdr>
            <w:top w:val="none" w:sz="0" w:space="0" w:color="auto"/>
            <w:left w:val="none" w:sz="0" w:space="0" w:color="auto"/>
            <w:bottom w:val="none" w:sz="0" w:space="0" w:color="auto"/>
            <w:right w:val="none" w:sz="0" w:space="0" w:color="auto"/>
          </w:divBdr>
          <w:divsChild>
            <w:div w:id="339507171">
              <w:marLeft w:val="0"/>
              <w:marRight w:val="0"/>
              <w:marTop w:val="0"/>
              <w:marBottom w:val="0"/>
              <w:divBdr>
                <w:top w:val="none" w:sz="0" w:space="0" w:color="auto"/>
                <w:left w:val="none" w:sz="0" w:space="0" w:color="auto"/>
                <w:bottom w:val="none" w:sz="0" w:space="0" w:color="auto"/>
                <w:right w:val="none" w:sz="0" w:space="0" w:color="auto"/>
              </w:divBdr>
              <w:divsChild>
                <w:div w:id="150786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617966">
      <w:bodyDiv w:val="1"/>
      <w:marLeft w:val="0"/>
      <w:marRight w:val="0"/>
      <w:marTop w:val="0"/>
      <w:marBottom w:val="0"/>
      <w:divBdr>
        <w:top w:val="none" w:sz="0" w:space="0" w:color="auto"/>
        <w:left w:val="none" w:sz="0" w:space="0" w:color="auto"/>
        <w:bottom w:val="none" w:sz="0" w:space="0" w:color="auto"/>
        <w:right w:val="none" w:sz="0" w:space="0" w:color="auto"/>
      </w:divBdr>
    </w:div>
    <w:div w:id="1543205697">
      <w:bodyDiv w:val="1"/>
      <w:marLeft w:val="0"/>
      <w:marRight w:val="0"/>
      <w:marTop w:val="0"/>
      <w:marBottom w:val="0"/>
      <w:divBdr>
        <w:top w:val="none" w:sz="0" w:space="0" w:color="auto"/>
        <w:left w:val="none" w:sz="0" w:space="0" w:color="auto"/>
        <w:bottom w:val="none" w:sz="0" w:space="0" w:color="auto"/>
        <w:right w:val="none" w:sz="0" w:space="0" w:color="auto"/>
      </w:divBdr>
    </w:div>
    <w:div w:id="1662998628">
      <w:bodyDiv w:val="1"/>
      <w:marLeft w:val="0"/>
      <w:marRight w:val="0"/>
      <w:marTop w:val="0"/>
      <w:marBottom w:val="0"/>
      <w:divBdr>
        <w:top w:val="none" w:sz="0" w:space="0" w:color="auto"/>
        <w:left w:val="none" w:sz="0" w:space="0" w:color="auto"/>
        <w:bottom w:val="none" w:sz="0" w:space="0" w:color="auto"/>
        <w:right w:val="none" w:sz="0" w:space="0" w:color="auto"/>
      </w:divBdr>
    </w:div>
    <w:div w:id="1833834754">
      <w:bodyDiv w:val="1"/>
      <w:marLeft w:val="0"/>
      <w:marRight w:val="0"/>
      <w:marTop w:val="0"/>
      <w:marBottom w:val="0"/>
      <w:divBdr>
        <w:top w:val="none" w:sz="0" w:space="0" w:color="auto"/>
        <w:left w:val="none" w:sz="0" w:space="0" w:color="auto"/>
        <w:bottom w:val="none" w:sz="0" w:space="0" w:color="auto"/>
        <w:right w:val="none" w:sz="0" w:space="0" w:color="auto"/>
      </w:divBdr>
      <w:divsChild>
        <w:div w:id="14232130">
          <w:marLeft w:val="0"/>
          <w:marRight w:val="0"/>
          <w:marTop w:val="0"/>
          <w:marBottom w:val="0"/>
          <w:divBdr>
            <w:top w:val="none" w:sz="0" w:space="0" w:color="auto"/>
            <w:left w:val="none" w:sz="0" w:space="0" w:color="auto"/>
            <w:bottom w:val="none" w:sz="0" w:space="0" w:color="auto"/>
            <w:right w:val="none" w:sz="0" w:space="0" w:color="auto"/>
          </w:divBdr>
          <w:divsChild>
            <w:div w:id="1587228850">
              <w:marLeft w:val="0"/>
              <w:marRight w:val="0"/>
              <w:marTop w:val="0"/>
              <w:marBottom w:val="0"/>
              <w:divBdr>
                <w:top w:val="none" w:sz="0" w:space="0" w:color="auto"/>
                <w:left w:val="none" w:sz="0" w:space="0" w:color="auto"/>
                <w:bottom w:val="none" w:sz="0" w:space="0" w:color="auto"/>
                <w:right w:val="none" w:sz="0" w:space="0" w:color="auto"/>
              </w:divBdr>
              <w:divsChild>
                <w:div w:id="1489125707">
                  <w:marLeft w:val="0"/>
                  <w:marRight w:val="0"/>
                  <w:marTop w:val="0"/>
                  <w:marBottom w:val="0"/>
                  <w:divBdr>
                    <w:top w:val="none" w:sz="0" w:space="0" w:color="auto"/>
                    <w:left w:val="none" w:sz="0" w:space="0" w:color="auto"/>
                    <w:bottom w:val="none" w:sz="0" w:space="0" w:color="auto"/>
                    <w:right w:val="none" w:sz="0" w:space="0" w:color="auto"/>
                  </w:divBdr>
                </w:div>
                <w:div w:id="2110664409">
                  <w:marLeft w:val="0"/>
                  <w:marRight w:val="0"/>
                  <w:marTop w:val="0"/>
                  <w:marBottom w:val="0"/>
                  <w:divBdr>
                    <w:top w:val="none" w:sz="0" w:space="0" w:color="auto"/>
                    <w:left w:val="none" w:sz="0" w:space="0" w:color="auto"/>
                    <w:bottom w:val="none" w:sz="0" w:space="0" w:color="auto"/>
                    <w:right w:val="none" w:sz="0" w:space="0" w:color="auto"/>
                  </w:divBdr>
                </w:div>
              </w:divsChild>
            </w:div>
            <w:div w:id="668675836">
              <w:marLeft w:val="0"/>
              <w:marRight w:val="0"/>
              <w:marTop w:val="0"/>
              <w:marBottom w:val="0"/>
              <w:divBdr>
                <w:top w:val="none" w:sz="0" w:space="0" w:color="auto"/>
                <w:left w:val="none" w:sz="0" w:space="0" w:color="auto"/>
                <w:bottom w:val="none" w:sz="0" w:space="0" w:color="auto"/>
                <w:right w:val="none" w:sz="0" w:space="0" w:color="auto"/>
              </w:divBdr>
              <w:divsChild>
                <w:div w:id="97695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5444">
          <w:marLeft w:val="0"/>
          <w:marRight w:val="0"/>
          <w:marTop w:val="0"/>
          <w:marBottom w:val="0"/>
          <w:divBdr>
            <w:top w:val="none" w:sz="0" w:space="0" w:color="auto"/>
            <w:left w:val="none" w:sz="0" w:space="0" w:color="auto"/>
            <w:bottom w:val="none" w:sz="0" w:space="0" w:color="auto"/>
            <w:right w:val="none" w:sz="0" w:space="0" w:color="auto"/>
          </w:divBdr>
          <w:divsChild>
            <w:div w:id="1345521871">
              <w:marLeft w:val="0"/>
              <w:marRight w:val="0"/>
              <w:marTop w:val="0"/>
              <w:marBottom w:val="0"/>
              <w:divBdr>
                <w:top w:val="none" w:sz="0" w:space="0" w:color="auto"/>
                <w:left w:val="none" w:sz="0" w:space="0" w:color="auto"/>
                <w:bottom w:val="none" w:sz="0" w:space="0" w:color="auto"/>
                <w:right w:val="none" w:sz="0" w:space="0" w:color="auto"/>
              </w:divBdr>
              <w:divsChild>
                <w:div w:id="110920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495491">
      <w:bodyDiv w:val="1"/>
      <w:marLeft w:val="0"/>
      <w:marRight w:val="0"/>
      <w:marTop w:val="0"/>
      <w:marBottom w:val="0"/>
      <w:divBdr>
        <w:top w:val="none" w:sz="0" w:space="0" w:color="auto"/>
        <w:left w:val="none" w:sz="0" w:space="0" w:color="auto"/>
        <w:bottom w:val="none" w:sz="0" w:space="0" w:color="auto"/>
        <w:right w:val="none" w:sz="0" w:space="0" w:color="auto"/>
      </w:divBdr>
    </w:div>
    <w:div w:id="1978411479">
      <w:bodyDiv w:val="1"/>
      <w:marLeft w:val="0"/>
      <w:marRight w:val="0"/>
      <w:marTop w:val="0"/>
      <w:marBottom w:val="0"/>
      <w:divBdr>
        <w:top w:val="none" w:sz="0" w:space="0" w:color="auto"/>
        <w:left w:val="none" w:sz="0" w:space="0" w:color="auto"/>
        <w:bottom w:val="none" w:sz="0" w:space="0" w:color="auto"/>
        <w:right w:val="none" w:sz="0" w:space="0" w:color="auto"/>
      </w:divBdr>
    </w:div>
    <w:div w:id="20538489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8.emf"/><Relationship Id="rId26" Type="http://schemas.openxmlformats.org/officeDocument/2006/relationships/hyperlink" Target="https://doi.org/10.15185/izawol.65.v2"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emf"/><Relationship Id="rId25" Type="http://schemas.openxmlformats.org/officeDocument/2006/relationships/hyperlink" Target="https://doi.org/10.1016/j.ypmed.2023.107679" TargetMode="Externa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10.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doi.org/10.1016/j.wdp.2024.100594"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www.globalbarometer.net/" TargetMode="External"/><Relationship Id="rId28" Type="http://schemas.openxmlformats.org/officeDocument/2006/relationships/hyperlink" Target="https://doi.org/10.2307/1885095" TargetMode="External"/><Relationship Id="rId10" Type="http://schemas.openxmlformats.org/officeDocument/2006/relationships/image" Target="media/image3.emf"/><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hyperlink" Target="https://doi.org/10.1057/s41599-023-01559-4"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C6AC0C-015A-D649-993A-29986FE40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34</Pages>
  <Words>10710</Words>
  <Characters>61049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lidia C.</dc:creator>
  <cp:keywords/>
  <cp:lastModifiedBy>Samuel David Restrepo</cp:lastModifiedBy>
  <cp:revision>9</cp:revision>
  <dcterms:created xsi:type="dcterms:W3CDTF">2025-03-12T19:16:00Z</dcterms:created>
  <dcterms:modified xsi:type="dcterms:W3CDTF">2025-03-12T19:30:00Z</dcterms:modified>
</cp:coreProperties>
</file>